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5223" w14:textId="77777777" w:rsidR="00F00BEA" w:rsidRDefault="00F00BEA"/>
    <w:p w14:paraId="14A76D9B" w14:textId="77777777" w:rsidR="00F00BEA" w:rsidRDefault="00F00BEA"/>
    <w:p w14:paraId="2E927545" w14:textId="3FEC84D0" w:rsidR="00F00BEA" w:rsidRDefault="00F00BEA"/>
    <w:p w14:paraId="5EF2D046" w14:textId="16419CAF" w:rsidR="00F00BEA" w:rsidRDefault="00F00BEA"/>
    <w:p w14:paraId="69FEB03F" w14:textId="56B5C74C" w:rsidR="00F00BEA" w:rsidRDefault="00B62C5F">
      <w:r w:rsidRPr="00F00BEA">
        <w:rPr>
          <w:rFonts w:ascii="Times New Roman" w:eastAsia="Calibri" w:hAnsi="Times New Roman" w:cs="Times New Roman"/>
          <w:noProof/>
          <w:color w:val="auto"/>
          <w:lang w:eastAsia="en-GB"/>
        </w:rPr>
        <mc:AlternateContent>
          <mc:Choice Requires="wps">
            <w:drawing>
              <wp:anchor distT="45720" distB="45720" distL="114300" distR="114300" simplePos="0" relativeHeight="251659264" behindDoc="0" locked="0" layoutInCell="1" allowOverlap="1" wp14:anchorId="347A7746" wp14:editId="651E7296">
                <wp:simplePos x="0" y="0"/>
                <wp:positionH relativeFrom="margin">
                  <wp:align>left</wp:align>
                </wp:positionH>
                <wp:positionV relativeFrom="paragraph">
                  <wp:posOffset>194803</wp:posOffset>
                </wp:positionV>
                <wp:extent cx="5628640" cy="2042160"/>
                <wp:effectExtent l="0" t="0" r="101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2042160"/>
                        </a:xfrm>
                        <a:prstGeom prst="rect">
                          <a:avLst/>
                        </a:prstGeom>
                        <a:solidFill>
                          <a:srgbClr val="FFFFFF"/>
                        </a:solidFill>
                        <a:ln w="9525">
                          <a:solidFill>
                            <a:srgbClr val="000000"/>
                          </a:solidFill>
                          <a:miter lim="800000"/>
                          <a:headEnd/>
                          <a:tailEnd/>
                        </a:ln>
                      </wps:spPr>
                      <wps:txbx>
                        <w:txbxContent>
                          <w:p w14:paraId="53A575FF" w14:textId="77777777" w:rsidR="000D10F9" w:rsidRDefault="000D10F9" w:rsidP="000D10F9">
                            <w:r>
                              <w:t>To support the clustering arrangements between Gloucestershire ICB an BNSSG ICB, these Standing Financial Instructions (SFI) have been produced to allow effective working arrangements between the organisations.  Recognising the need for both ICBs to maintain their sovereignty until they are permitted by NHS England to merge, this document will need to be agreed by both individual Boards.</w:t>
                            </w:r>
                          </w:p>
                          <w:p w14:paraId="7D31F8FD" w14:textId="77777777" w:rsidR="00890E31" w:rsidRDefault="00890E31" w:rsidP="000D10F9"/>
                          <w:p w14:paraId="694AE5F0" w14:textId="7ACD3A79" w:rsidR="00890E31" w:rsidRDefault="00890E31" w:rsidP="000D10F9">
                            <w:r>
                              <w:t xml:space="preserve">This document </w:t>
                            </w:r>
                            <w:r w:rsidR="001D26D8">
                              <w:t xml:space="preserve">is supported by policies </w:t>
                            </w:r>
                            <w:r w:rsidR="005E2867">
                              <w:t xml:space="preserve">in both ICBs which are referred to and will be combined </w:t>
                            </w:r>
                            <w:r w:rsidR="00A522EB">
                              <w:t xml:space="preserve">once </w:t>
                            </w:r>
                            <w:r w:rsidR="009732E2">
                              <w:t xml:space="preserve">organisational changes have been </w:t>
                            </w:r>
                            <w:r w:rsidR="002C40D2">
                              <w:t>completed and individuals are aligned to new teams and ways of working.</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A7746" id="_x0000_t202" coordsize="21600,21600" o:spt="202" path="m,l,21600r21600,l21600,xe">
                <v:stroke joinstyle="miter"/>
                <v:path gradientshapeok="t" o:connecttype="rect"/>
              </v:shapetype>
              <v:shape id="Text Box 2" o:spid="_x0000_s1026" type="#_x0000_t202" style="position:absolute;margin-left:0;margin-top:15.35pt;width:443.2pt;height:160.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UIAIAAEgEAAAOAAAAZHJzL2Uyb0RvYy54bWysVMGO0zAQvSPxD5bvNGnUlm7UdLV0KUJa&#10;WKSFD3Acu7FwPMZ2m5SvZ+x0u1WBCyIHy+MZP8+8N5PV7dBpchDOKzAVnU5ySoTh0Cizq+i3r9s3&#10;S0p8YKZhGoyo6FF4ert+/WrV21IU0IJuhCMIYnzZ24q2IdgyyzxvRcf8BKww6JTgOhbQdLuscaxH&#10;9E5nRZ4vsh5cYx1w4T2e3o9Ouk74UgoeHqX0IhBdUcwtpNWltY5rtl6xcueYbRU/pcH+IYuOKYOP&#10;nqHuWWBk79RvUJ3iDjzIMOHQZSCl4iLVgNVM86tqnlpmRaoFyfH2TJP/f7D88+HJfnEkDO9gQAFT&#10;Ed4+AP/uiYFNy8xO3DkHfStYgw9PI2VZb315uhqp9qWPIHX/CRoUme0DJKBBui6ygnUSREcBjmfS&#10;xRAIx8P5olguZuji6CvyWTFdJFkyVj5ft86HDwI6EjcVdahqgmeHBx9iOqx8DomvedCq2Sqtk+F2&#10;9UY7cmDYAdv0pQquwrQhfUVv5sV8ZOCvEHn6/gTRqYCtrFVX0eU5iJWRt/emSY0WmNLjHlPW5kRk&#10;5G5kMQz1gIGR0BqaI1LqYGxZHLHwiIvUgHlyrSwlLbif12cxDrsDPZT02NYV9T/2zAlK9EeD8t1M&#10;Z5HrkIzZ/G2Bhrv01JceZjhCVTRQMm43Ic1OJNbAHcosVRLgJeNTTdiuSZfTaMV5uLRT1MsPYP0L&#10;AAD//wMAUEsDBBQABgAIAAAAIQAt2y+53gAAAAcBAAAPAAAAZHJzL2Rvd25yZXYueG1sTI/BTsMw&#10;EETvSPyDtUhcUOvQlDSEOBVCAtEbtAiubrJNIux1sN00/D3LCY47M5p5W64na8SIPvSOFFzPExBI&#10;tWt6ahW87R5nOYgQNTXaOEIF3xhgXZ2flbpo3IlecdzGVnAJhUIr6GIcCilD3aHVYe4GJPYOzlsd&#10;+fStbLw+cbk1cpEkmbS6J17o9IAPHdaf26NVkC+fx4+wSV/e6+xgbuPVanz68kpdXkz3dyAiTvEv&#10;DL/4jA4VM+3dkZogjAJ+JCpIkxUIdvM8W4LYs3CzSEFWpfzPX/0AAAD//wMAUEsBAi0AFAAGAAgA&#10;AAAhALaDOJL+AAAA4QEAABMAAAAAAAAAAAAAAAAAAAAAAFtDb250ZW50X1R5cGVzXS54bWxQSwEC&#10;LQAUAAYACAAAACEAOP0h/9YAAACUAQAACwAAAAAAAAAAAAAAAAAvAQAAX3JlbHMvLnJlbHNQSwEC&#10;LQAUAAYACAAAACEAhSz/lCACAABIBAAADgAAAAAAAAAAAAAAAAAuAgAAZHJzL2Uyb0RvYy54bWxQ&#10;SwECLQAUAAYACAAAACEALdsvud4AAAAHAQAADwAAAAAAAAAAAAAAAAB6BAAAZHJzL2Rvd25yZXYu&#10;eG1sUEsFBgAAAAAEAAQA8wAAAIUFAAAAAA==&#10;">
                <v:textbox>
                  <w:txbxContent>
                    <w:p w14:paraId="53A575FF" w14:textId="77777777" w:rsidR="000D10F9" w:rsidRDefault="000D10F9" w:rsidP="000D10F9">
                      <w:r>
                        <w:t>To support the clustering arrangements between Gloucestershire ICB an BNSSG ICB, these Standing Financial Instructions (SFI) have been produced to allow effective working arrangements between the organisations.  Recognising the need for both ICBs to maintain their sovereignty until they are permitted by NHS England to merge, this document will need to be agreed by both individual Boards.</w:t>
                      </w:r>
                    </w:p>
                    <w:p w14:paraId="7D31F8FD" w14:textId="77777777" w:rsidR="00890E31" w:rsidRDefault="00890E31" w:rsidP="000D10F9"/>
                    <w:p w14:paraId="694AE5F0" w14:textId="7ACD3A79" w:rsidR="00890E31" w:rsidRDefault="00890E31" w:rsidP="000D10F9">
                      <w:r>
                        <w:t xml:space="preserve">This document </w:t>
                      </w:r>
                      <w:r w:rsidR="001D26D8">
                        <w:t xml:space="preserve">is supported by policies </w:t>
                      </w:r>
                      <w:r w:rsidR="005E2867">
                        <w:t xml:space="preserve">in both ICBs which are referred to and will be combined </w:t>
                      </w:r>
                      <w:r w:rsidR="00A522EB">
                        <w:t xml:space="preserve">once </w:t>
                      </w:r>
                      <w:r w:rsidR="009732E2">
                        <w:t xml:space="preserve">organisational changes have been </w:t>
                      </w:r>
                      <w:r w:rsidR="002C40D2">
                        <w:t>completed and individuals are aligned to new teams and ways of working.</w:t>
                      </w:r>
                    </w:p>
                  </w:txbxContent>
                </v:textbox>
                <w10:wrap type="square" anchorx="margin"/>
              </v:shape>
            </w:pict>
          </mc:Fallback>
        </mc:AlternateContent>
      </w:r>
    </w:p>
    <w:p w14:paraId="52A71D6C" w14:textId="6F640B96" w:rsidR="00F00BEA" w:rsidRDefault="00F00BEA"/>
    <w:tbl>
      <w:tblPr>
        <w:tblStyle w:val="TableGrid"/>
        <w:tblW w:w="9953" w:type="dxa"/>
        <w:tblLook w:val="04A0" w:firstRow="1" w:lastRow="0" w:firstColumn="1" w:lastColumn="0" w:noHBand="0" w:noVBand="1"/>
      </w:tblPr>
      <w:tblGrid>
        <w:gridCol w:w="9953"/>
      </w:tblGrid>
      <w:tr w:rsidR="00A31A7A" w:rsidRPr="00A31A7A" w14:paraId="20CD6349" w14:textId="77777777" w:rsidTr="004B459C">
        <w:trPr>
          <w:trHeight w:val="348"/>
        </w:trPr>
        <w:tc>
          <w:tcPr>
            <w:tcW w:w="9953" w:type="dxa"/>
          </w:tcPr>
          <w:p w14:paraId="41883105" w14:textId="07E77D12" w:rsidR="000D10F9" w:rsidRPr="000D10F9" w:rsidRDefault="000D10F9" w:rsidP="000D10F9"/>
        </w:tc>
      </w:tr>
      <w:tr w:rsidR="00A31A7A" w:rsidRPr="00F16C8C" w14:paraId="38DB91B3" w14:textId="77777777" w:rsidTr="004B459C">
        <w:trPr>
          <w:trHeight w:val="4412"/>
        </w:trPr>
        <w:tc>
          <w:tcPr>
            <w:tcW w:w="9953" w:type="dxa"/>
            <w:tcMar>
              <w:bottom w:w="0" w:type="dxa"/>
            </w:tcMar>
          </w:tcPr>
          <w:p w14:paraId="16696697" w14:textId="77777777" w:rsidR="005F5609" w:rsidRDefault="005F5609" w:rsidP="00F16C8C">
            <w:pPr>
              <w:pStyle w:val="Title"/>
              <w:jc w:val="center"/>
              <w:rPr>
                <w:color w:val="002060"/>
                <w:sz w:val="56"/>
                <w:szCs w:val="52"/>
              </w:rPr>
            </w:pPr>
          </w:p>
          <w:p w14:paraId="715C80A5" w14:textId="2D50E833" w:rsidR="00DB1E73" w:rsidRPr="00F16C8C" w:rsidRDefault="0058517B" w:rsidP="00F16C8C">
            <w:pPr>
              <w:pStyle w:val="Title"/>
              <w:jc w:val="center"/>
              <w:rPr>
                <w:color w:val="002060"/>
                <w:sz w:val="56"/>
                <w:szCs w:val="52"/>
              </w:rPr>
            </w:pPr>
            <w:r w:rsidRPr="00F16C8C">
              <w:rPr>
                <w:color w:val="002060"/>
                <w:sz w:val="56"/>
                <w:szCs w:val="52"/>
              </w:rPr>
              <w:t>BNSSG</w:t>
            </w:r>
            <w:r w:rsidR="00F16C8C" w:rsidRPr="00F16C8C">
              <w:rPr>
                <w:color w:val="002060"/>
                <w:sz w:val="56"/>
                <w:szCs w:val="52"/>
              </w:rPr>
              <w:t xml:space="preserve"> and Gloucestershire </w:t>
            </w:r>
            <w:r w:rsidR="0028425C" w:rsidRPr="00F16C8C">
              <w:rPr>
                <w:color w:val="002060"/>
                <w:sz w:val="56"/>
                <w:szCs w:val="52"/>
              </w:rPr>
              <w:t>I</w:t>
            </w:r>
            <w:r w:rsidR="00D65A20" w:rsidRPr="00F16C8C">
              <w:rPr>
                <w:color w:val="002060"/>
                <w:sz w:val="56"/>
                <w:szCs w:val="52"/>
              </w:rPr>
              <w:t xml:space="preserve">ntegrated </w:t>
            </w:r>
            <w:r w:rsidR="0028425C" w:rsidRPr="00F16C8C">
              <w:rPr>
                <w:color w:val="002060"/>
                <w:sz w:val="56"/>
                <w:szCs w:val="52"/>
              </w:rPr>
              <w:t>C</w:t>
            </w:r>
            <w:r w:rsidR="00CF3C3C" w:rsidRPr="00F16C8C">
              <w:rPr>
                <w:color w:val="002060"/>
                <w:sz w:val="56"/>
                <w:szCs w:val="52"/>
              </w:rPr>
              <w:t xml:space="preserve">are </w:t>
            </w:r>
            <w:r w:rsidR="0028425C" w:rsidRPr="00F16C8C">
              <w:rPr>
                <w:color w:val="002060"/>
                <w:sz w:val="56"/>
                <w:szCs w:val="52"/>
              </w:rPr>
              <w:t>B</w:t>
            </w:r>
            <w:r w:rsidR="00CF3C3C" w:rsidRPr="00F16C8C">
              <w:rPr>
                <w:color w:val="002060"/>
                <w:sz w:val="56"/>
                <w:szCs w:val="52"/>
              </w:rPr>
              <w:t>oard</w:t>
            </w:r>
            <w:r w:rsidR="00F16C8C" w:rsidRPr="00F16C8C">
              <w:rPr>
                <w:color w:val="002060"/>
                <w:sz w:val="56"/>
                <w:szCs w:val="52"/>
              </w:rPr>
              <w:t>s</w:t>
            </w:r>
          </w:p>
          <w:p w14:paraId="1DF752C8" w14:textId="77777777" w:rsidR="00DB1E73" w:rsidRPr="00F16C8C" w:rsidRDefault="00DB1E73" w:rsidP="00F16C8C">
            <w:pPr>
              <w:pStyle w:val="Title"/>
              <w:jc w:val="center"/>
              <w:rPr>
                <w:color w:val="002060"/>
                <w:sz w:val="56"/>
                <w:szCs w:val="52"/>
              </w:rPr>
            </w:pPr>
          </w:p>
          <w:p w14:paraId="0266B287" w14:textId="1FF93C94" w:rsidR="00A31A7A" w:rsidRPr="00F16C8C" w:rsidRDefault="000C7251" w:rsidP="00F16C8C">
            <w:pPr>
              <w:pStyle w:val="Title"/>
              <w:jc w:val="center"/>
              <w:rPr>
                <w:sz w:val="56"/>
                <w:szCs w:val="52"/>
              </w:rPr>
            </w:pPr>
            <w:r w:rsidRPr="00F16C8C">
              <w:rPr>
                <w:color w:val="002060"/>
                <w:sz w:val="56"/>
                <w:szCs w:val="52"/>
              </w:rPr>
              <w:t>Standing Financial Instructions</w:t>
            </w:r>
          </w:p>
        </w:tc>
      </w:tr>
      <w:tr w:rsidR="00A31A7A" w:rsidRPr="00A31A7A" w14:paraId="4B0CF140" w14:textId="77777777" w:rsidTr="004B459C">
        <w:trPr>
          <w:trHeight w:val="735"/>
        </w:trPr>
        <w:tc>
          <w:tcPr>
            <w:tcW w:w="9953" w:type="dxa"/>
            <w:tcMar>
              <w:bottom w:w="851" w:type="dxa"/>
            </w:tcMar>
          </w:tcPr>
          <w:p w14:paraId="5A7163C2" w14:textId="529A76F5" w:rsidR="00A31A7A" w:rsidRPr="00A31A7A" w:rsidRDefault="00A31A7A" w:rsidP="00282710">
            <w:pPr>
              <w:pStyle w:val="Subtitle"/>
            </w:pPr>
          </w:p>
        </w:tc>
      </w:tr>
      <w:tr w:rsidR="00BF6956" w:rsidRPr="00BF6956" w14:paraId="145DC423" w14:textId="77777777" w:rsidTr="004B459C">
        <w:trPr>
          <w:trHeight w:val="1870"/>
        </w:trPr>
        <w:tc>
          <w:tcPr>
            <w:tcW w:w="9953" w:type="dxa"/>
          </w:tcPr>
          <w:p w14:paraId="2A726C74" w14:textId="77777777" w:rsidR="00767381" w:rsidRPr="00BF6956" w:rsidRDefault="00767381" w:rsidP="00282710">
            <w:pPr>
              <w:pStyle w:val="Date"/>
              <w:rPr>
                <w:color w:val="auto"/>
              </w:rPr>
            </w:pPr>
          </w:p>
          <w:p w14:paraId="1D0F1BE5" w14:textId="7B1132DA" w:rsidR="00840C5A" w:rsidRPr="00BF6956" w:rsidRDefault="00A31A7A" w:rsidP="00282710">
            <w:pPr>
              <w:pStyle w:val="Date"/>
              <w:rPr>
                <w:color w:val="auto"/>
              </w:rPr>
            </w:pPr>
            <w:r w:rsidRPr="00BF6956">
              <w:rPr>
                <w:color w:val="auto"/>
              </w:rPr>
              <w:t xml:space="preserve">Version </w:t>
            </w:r>
            <w:r w:rsidR="00B41811">
              <w:rPr>
                <w:color w:val="auto"/>
              </w:rPr>
              <w:t>1.0</w:t>
            </w:r>
          </w:p>
          <w:p w14:paraId="5787CE42" w14:textId="77777777" w:rsidR="00840C5A" w:rsidRPr="00BF6956" w:rsidRDefault="00840C5A" w:rsidP="00282710">
            <w:pPr>
              <w:pStyle w:val="Date"/>
              <w:rPr>
                <w:color w:val="auto"/>
              </w:rPr>
            </w:pPr>
          </w:p>
          <w:p w14:paraId="4A90140B" w14:textId="35CB5F5F" w:rsidR="00A31A7A" w:rsidRPr="00BF6956" w:rsidRDefault="00A31A7A" w:rsidP="00282710">
            <w:pPr>
              <w:pStyle w:val="Date"/>
              <w:rPr>
                <w:color w:val="auto"/>
              </w:rPr>
            </w:pPr>
          </w:p>
        </w:tc>
      </w:tr>
    </w:tbl>
    <w:tbl>
      <w:tblPr>
        <w:tblStyle w:val="TableGrid"/>
        <w:tblpPr w:vertAnchor="page" w:horzAnchor="margin" w:tblpY="3424"/>
        <w:tblOverlap w:val="never"/>
        <w:tblW w:w="6727" w:type="dxa"/>
        <w:tblLook w:val="04A0" w:firstRow="1" w:lastRow="0" w:firstColumn="1" w:lastColumn="0" w:noHBand="0" w:noVBand="1"/>
      </w:tblPr>
      <w:tblGrid>
        <w:gridCol w:w="6727"/>
      </w:tblGrid>
      <w:tr w:rsidR="00BF6956" w:rsidRPr="00BF6956" w14:paraId="4A404642" w14:textId="77777777" w:rsidTr="00F16C8C">
        <w:trPr>
          <w:trHeight w:val="642"/>
        </w:trPr>
        <w:sdt>
          <w:sdtPr>
            <w:rPr>
              <w:color w:val="auto"/>
            </w:rPr>
            <w:alias w:val="Protective Marking"/>
            <w:tag w:val="Protective Marking"/>
            <w:id w:val="-1097942897"/>
            <w:placeholder>
              <w:docPart w:val="ADD9B64CA55D47D58F90DD8CE61D08D3"/>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6727" w:type="dxa"/>
              </w:tcPr>
              <w:p w14:paraId="1C141A43" w14:textId="77777777" w:rsidR="00F16C8C" w:rsidRPr="00BF6956" w:rsidRDefault="00F16C8C" w:rsidP="00F16C8C">
                <w:pPr>
                  <w:pStyle w:val="Classification"/>
                  <w:rPr>
                    <w:color w:val="auto"/>
                  </w:rPr>
                </w:pPr>
                <w:r w:rsidRPr="00BF6956">
                  <w:rPr>
                    <w:color w:val="auto"/>
                  </w:rPr>
                  <w:t>Classification: Official</w:t>
                </w:r>
              </w:p>
            </w:tc>
          </w:sdtContent>
        </w:sdt>
      </w:tr>
      <w:tr w:rsidR="00BF6956" w:rsidRPr="00BF6956" w14:paraId="4AD74730" w14:textId="77777777" w:rsidTr="00F16C8C">
        <w:trPr>
          <w:trHeight w:val="642"/>
        </w:trPr>
        <w:tc>
          <w:tcPr>
            <w:tcW w:w="6727" w:type="dxa"/>
          </w:tcPr>
          <w:p w14:paraId="1ED41FDE" w14:textId="77777777" w:rsidR="00F16C8C" w:rsidRPr="00BF6956" w:rsidRDefault="00F16C8C" w:rsidP="00F16C8C">
            <w:pPr>
              <w:pStyle w:val="Classification"/>
              <w:rPr>
                <w:color w:val="auto"/>
              </w:rPr>
            </w:pPr>
          </w:p>
        </w:tc>
      </w:tr>
      <w:tr w:rsidR="00BF6956" w:rsidRPr="00BF6956" w14:paraId="71FCE63A" w14:textId="77777777" w:rsidTr="00F16C8C">
        <w:tc>
          <w:tcPr>
            <w:tcW w:w="6727" w:type="dxa"/>
          </w:tcPr>
          <w:p w14:paraId="3FD2D77A" w14:textId="77777777" w:rsidR="00F16C8C" w:rsidRPr="00BF6956" w:rsidRDefault="00F16C8C" w:rsidP="00F16C8C">
            <w:pPr>
              <w:pStyle w:val="Classification"/>
              <w:rPr>
                <w:color w:val="auto"/>
              </w:rPr>
            </w:pPr>
          </w:p>
          <w:p w14:paraId="16A13166" w14:textId="77777777" w:rsidR="00F16C8C" w:rsidRPr="00BF6956" w:rsidRDefault="00F16C8C" w:rsidP="00F16C8C">
            <w:pPr>
              <w:pStyle w:val="Classification"/>
              <w:rPr>
                <w:color w:val="auto"/>
              </w:rPr>
            </w:pPr>
            <w:r w:rsidRPr="00BF6956">
              <w:rPr>
                <w:color w:val="auto"/>
              </w:rPr>
              <w:t xml:space="preserve">Publication approval reference: </w:t>
            </w:r>
          </w:p>
          <w:p w14:paraId="220B7F68" w14:textId="77777777" w:rsidR="00F16C8C" w:rsidRDefault="00F16C8C" w:rsidP="00F16C8C">
            <w:pPr>
              <w:pStyle w:val="Classification"/>
              <w:rPr>
                <w:color w:val="auto"/>
              </w:rPr>
            </w:pPr>
            <w:r w:rsidRPr="00BF6956">
              <w:rPr>
                <w:color w:val="auto"/>
              </w:rPr>
              <w:t>Agreed by ICB Boards</w:t>
            </w:r>
          </w:p>
          <w:p w14:paraId="6EC2DD51" w14:textId="4BFB93B8" w:rsidR="004B459C" w:rsidRPr="00BF6956" w:rsidRDefault="004B459C" w:rsidP="00F16C8C">
            <w:pPr>
              <w:pStyle w:val="Classification"/>
              <w:rPr>
                <w:color w:val="auto"/>
              </w:rPr>
            </w:pPr>
            <w:r>
              <w:rPr>
                <w:color w:val="auto"/>
              </w:rPr>
              <w:t>27 May 2026</w:t>
            </w:r>
          </w:p>
          <w:p w14:paraId="40F0D3DF" w14:textId="3F4046F9" w:rsidR="00F16C8C" w:rsidRPr="00BF6956" w:rsidRDefault="00F16C8C" w:rsidP="00F16C8C">
            <w:pPr>
              <w:pStyle w:val="Classification"/>
              <w:rPr>
                <w:color w:val="auto"/>
              </w:rPr>
            </w:pPr>
          </w:p>
        </w:tc>
      </w:tr>
    </w:tbl>
    <w:p w14:paraId="58EFD305" w14:textId="4616C1A2" w:rsidR="00C878BC" w:rsidRDefault="00C878BC"/>
    <w:p w14:paraId="48919D74" w14:textId="77777777" w:rsidR="001241F4" w:rsidRDefault="001241F4" w:rsidP="00991A82">
      <w:pPr>
        <w:sectPr w:rsidR="001241F4" w:rsidSect="00F00BEA">
          <w:headerReference w:type="even" r:id="rId11"/>
          <w:headerReference w:type="default" r:id="rId12"/>
          <w:footerReference w:type="even" r:id="rId13"/>
          <w:footerReference w:type="default" r:id="rId14"/>
          <w:headerReference w:type="first" r:id="rId15"/>
          <w:footerReference w:type="first" r:id="rId16"/>
          <w:pgSz w:w="11906" w:h="16838" w:code="9"/>
          <w:pgMar w:top="1701" w:right="1928" w:bottom="1134" w:left="1077" w:header="709" w:footer="709" w:gutter="0"/>
          <w:cols w:space="708"/>
          <w:docGrid w:linePitch="360"/>
        </w:sectPr>
      </w:pPr>
    </w:p>
    <w:p w14:paraId="037F581D" w14:textId="2655DE30" w:rsidR="001241F4" w:rsidRPr="00CC12DF" w:rsidRDefault="00510CDF" w:rsidP="00510CDF">
      <w:pPr>
        <w:pStyle w:val="TOCHeading"/>
        <w:rPr>
          <w:color w:val="002060"/>
          <w:sz w:val="52"/>
          <w:szCs w:val="24"/>
        </w:rPr>
      </w:pPr>
      <w:r w:rsidRPr="00CC12DF">
        <w:rPr>
          <w:color w:val="002060"/>
          <w:sz w:val="52"/>
          <w:szCs w:val="24"/>
        </w:rPr>
        <w:lastRenderedPageBreak/>
        <w:t>Contents</w:t>
      </w:r>
    </w:p>
    <w:p w14:paraId="6ECE0EBD" w14:textId="3D47F263" w:rsidR="004674E6" w:rsidRDefault="00510CDF">
      <w:pPr>
        <w:pStyle w:val="TOC1"/>
        <w:rPr>
          <w:rFonts w:asciiTheme="minorHAnsi" w:eastAsiaTheme="minorEastAsia" w:hAnsiTheme="minorHAnsi"/>
          <w:noProof/>
          <w:color w:val="auto"/>
          <w:kern w:val="2"/>
          <w:lang w:eastAsia="en-GB"/>
          <w14:ligatures w14:val="standardContextual"/>
        </w:rPr>
      </w:pPr>
      <w:r>
        <w:fldChar w:fldCharType="begin"/>
      </w:r>
      <w:r>
        <w:instrText xml:space="preserve"> toc \h \w \t "Heading 1,1,Heading 1 Numbered,1,Heading 2,2,Heading 2 Numbered,2" </w:instrText>
      </w:r>
      <w:r>
        <w:fldChar w:fldCharType="separate"/>
      </w:r>
      <w:hyperlink w:anchor="_Toc230249744" w:history="1">
        <w:r w:rsidR="004674E6" w:rsidRPr="00CE6892">
          <w:rPr>
            <w:rStyle w:val="Hyperlink"/>
            <w:noProof/>
          </w:rPr>
          <w:t>1. Purpose and statutory framework</w:t>
        </w:r>
        <w:r w:rsidR="004674E6">
          <w:rPr>
            <w:noProof/>
          </w:rPr>
          <w:tab/>
        </w:r>
        <w:r w:rsidR="004674E6">
          <w:rPr>
            <w:noProof/>
          </w:rPr>
          <w:fldChar w:fldCharType="begin"/>
        </w:r>
        <w:r w:rsidR="004674E6">
          <w:rPr>
            <w:noProof/>
          </w:rPr>
          <w:instrText xml:space="preserve"> PAGEREF _Toc230249744 \h </w:instrText>
        </w:r>
        <w:r w:rsidR="004674E6">
          <w:rPr>
            <w:noProof/>
          </w:rPr>
        </w:r>
        <w:r w:rsidR="004674E6">
          <w:rPr>
            <w:noProof/>
          </w:rPr>
          <w:fldChar w:fldCharType="separate"/>
        </w:r>
        <w:r w:rsidR="00140CD3">
          <w:rPr>
            <w:noProof/>
          </w:rPr>
          <w:t>4</w:t>
        </w:r>
        <w:r w:rsidR="004674E6">
          <w:rPr>
            <w:noProof/>
          </w:rPr>
          <w:fldChar w:fldCharType="end"/>
        </w:r>
      </w:hyperlink>
    </w:p>
    <w:p w14:paraId="72184B57" w14:textId="643855F8" w:rsidR="004674E6" w:rsidRDefault="004674E6">
      <w:pPr>
        <w:pStyle w:val="TOC1"/>
        <w:rPr>
          <w:rFonts w:asciiTheme="minorHAnsi" w:eastAsiaTheme="minorEastAsia" w:hAnsiTheme="minorHAnsi"/>
          <w:noProof/>
          <w:color w:val="auto"/>
          <w:kern w:val="2"/>
          <w:lang w:eastAsia="en-GB"/>
          <w14:ligatures w14:val="standardContextual"/>
        </w:rPr>
      </w:pPr>
      <w:hyperlink w:anchor="_Toc230249745" w:history="1">
        <w:r w:rsidRPr="00CE6892">
          <w:rPr>
            <w:rStyle w:val="Hyperlink"/>
            <w:noProof/>
          </w:rPr>
          <w:t>2. Scope</w:t>
        </w:r>
        <w:r>
          <w:rPr>
            <w:noProof/>
          </w:rPr>
          <w:tab/>
        </w:r>
        <w:r>
          <w:rPr>
            <w:noProof/>
          </w:rPr>
          <w:fldChar w:fldCharType="begin"/>
        </w:r>
        <w:r>
          <w:rPr>
            <w:noProof/>
          </w:rPr>
          <w:instrText xml:space="preserve"> PAGEREF _Toc230249745 \h </w:instrText>
        </w:r>
        <w:r>
          <w:rPr>
            <w:noProof/>
          </w:rPr>
        </w:r>
        <w:r>
          <w:rPr>
            <w:noProof/>
          </w:rPr>
          <w:fldChar w:fldCharType="separate"/>
        </w:r>
        <w:r w:rsidR="00140CD3">
          <w:rPr>
            <w:noProof/>
          </w:rPr>
          <w:t>5</w:t>
        </w:r>
        <w:r>
          <w:rPr>
            <w:noProof/>
          </w:rPr>
          <w:fldChar w:fldCharType="end"/>
        </w:r>
      </w:hyperlink>
    </w:p>
    <w:p w14:paraId="290F2AFD" w14:textId="0DD91CE6" w:rsidR="004674E6" w:rsidRDefault="004674E6">
      <w:pPr>
        <w:pStyle w:val="TOC1"/>
        <w:rPr>
          <w:rFonts w:asciiTheme="minorHAnsi" w:eastAsiaTheme="minorEastAsia" w:hAnsiTheme="minorHAnsi"/>
          <w:noProof/>
          <w:color w:val="auto"/>
          <w:kern w:val="2"/>
          <w:lang w:eastAsia="en-GB"/>
          <w14:ligatures w14:val="standardContextual"/>
        </w:rPr>
      </w:pPr>
      <w:hyperlink w:anchor="_Toc230249746" w:history="1">
        <w:r w:rsidRPr="00CE6892">
          <w:rPr>
            <w:rStyle w:val="Hyperlink"/>
            <w:noProof/>
          </w:rPr>
          <w:t>3. Roles and Responsibilities</w:t>
        </w:r>
        <w:r>
          <w:rPr>
            <w:noProof/>
          </w:rPr>
          <w:tab/>
        </w:r>
        <w:r>
          <w:rPr>
            <w:noProof/>
          </w:rPr>
          <w:fldChar w:fldCharType="begin"/>
        </w:r>
        <w:r>
          <w:rPr>
            <w:noProof/>
          </w:rPr>
          <w:instrText xml:space="preserve"> PAGEREF _Toc230249746 \h </w:instrText>
        </w:r>
        <w:r>
          <w:rPr>
            <w:noProof/>
          </w:rPr>
        </w:r>
        <w:r>
          <w:rPr>
            <w:noProof/>
          </w:rPr>
          <w:fldChar w:fldCharType="separate"/>
        </w:r>
        <w:r w:rsidR="00140CD3">
          <w:rPr>
            <w:noProof/>
          </w:rPr>
          <w:t>6</w:t>
        </w:r>
        <w:r>
          <w:rPr>
            <w:noProof/>
          </w:rPr>
          <w:fldChar w:fldCharType="end"/>
        </w:r>
      </w:hyperlink>
    </w:p>
    <w:p w14:paraId="45F0F26B" w14:textId="69EC19B4" w:rsidR="004674E6" w:rsidRDefault="004674E6">
      <w:pPr>
        <w:pStyle w:val="TOC2"/>
        <w:rPr>
          <w:rFonts w:asciiTheme="minorHAnsi" w:eastAsiaTheme="minorEastAsia" w:hAnsiTheme="minorHAnsi"/>
          <w:noProof/>
          <w:color w:val="auto"/>
          <w:kern w:val="2"/>
          <w:lang w:eastAsia="en-GB"/>
          <w14:ligatures w14:val="standardContextual"/>
        </w:rPr>
      </w:pPr>
      <w:hyperlink w:anchor="_Toc230249747" w:history="1">
        <w:r w:rsidRPr="00CE6892">
          <w:rPr>
            <w:rStyle w:val="Hyperlink"/>
            <w:noProof/>
          </w:rPr>
          <w:t>3.1 Staff</w:t>
        </w:r>
        <w:r>
          <w:rPr>
            <w:noProof/>
          </w:rPr>
          <w:tab/>
        </w:r>
        <w:r>
          <w:rPr>
            <w:noProof/>
          </w:rPr>
          <w:fldChar w:fldCharType="begin"/>
        </w:r>
        <w:r>
          <w:rPr>
            <w:noProof/>
          </w:rPr>
          <w:instrText xml:space="preserve"> PAGEREF _Toc230249747 \h </w:instrText>
        </w:r>
        <w:r>
          <w:rPr>
            <w:noProof/>
          </w:rPr>
        </w:r>
        <w:r>
          <w:rPr>
            <w:noProof/>
          </w:rPr>
          <w:fldChar w:fldCharType="separate"/>
        </w:r>
        <w:r w:rsidR="00140CD3">
          <w:rPr>
            <w:noProof/>
          </w:rPr>
          <w:t>6</w:t>
        </w:r>
        <w:r>
          <w:rPr>
            <w:noProof/>
          </w:rPr>
          <w:fldChar w:fldCharType="end"/>
        </w:r>
      </w:hyperlink>
    </w:p>
    <w:p w14:paraId="4790C9CA" w14:textId="6C27E350" w:rsidR="004674E6" w:rsidRDefault="004674E6">
      <w:pPr>
        <w:pStyle w:val="TOC2"/>
        <w:rPr>
          <w:rFonts w:asciiTheme="minorHAnsi" w:eastAsiaTheme="minorEastAsia" w:hAnsiTheme="minorHAnsi"/>
          <w:noProof/>
          <w:color w:val="auto"/>
          <w:kern w:val="2"/>
          <w:lang w:eastAsia="en-GB"/>
          <w14:ligatures w14:val="standardContextual"/>
        </w:rPr>
      </w:pPr>
      <w:hyperlink w:anchor="_Toc230249748" w:history="1">
        <w:r w:rsidRPr="00CE6892">
          <w:rPr>
            <w:rStyle w:val="Hyperlink"/>
            <w:noProof/>
          </w:rPr>
          <w:t>3.2 Chief Executive</w:t>
        </w:r>
        <w:r>
          <w:rPr>
            <w:noProof/>
          </w:rPr>
          <w:tab/>
        </w:r>
        <w:r>
          <w:rPr>
            <w:noProof/>
          </w:rPr>
          <w:fldChar w:fldCharType="begin"/>
        </w:r>
        <w:r>
          <w:rPr>
            <w:noProof/>
          </w:rPr>
          <w:instrText xml:space="preserve"> PAGEREF _Toc230249748 \h </w:instrText>
        </w:r>
        <w:r>
          <w:rPr>
            <w:noProof/>
          </w:rPr>
        </w:r>
        <w:r>
          <w:rPr>
            <w:noProof/>
          </w:rPr>
          <w:fldChar w:fldCharType="separate"/>
        </w:r>
        <w:r w:rsidR="00140CD3">
          <w:rPr>
            <w:noProof/>
          </w:rPr>
          <w:t>6</w:t>
        </w:r>
        <w:r>
          <w:rPr>
            <w:noProof/>
          </w:rPr>
          <w:fldChar w:fldCharType="end"/>
        </w:r>
      </w:hyperlink>
    </w:p>
    <w:p w14:paraId="189A18D6" w14:textId="6A0CEA60" w:rsidR="004674E6" w:rsidRDefault="004674E6">
      <w:pPr>
        <w:pStyle w:val="TOC2"/>
        <w:rPr>
          <w:rFonts w:asciiTheme="minorHAnsi" w:eastAsiaTheme="minorEastAsia" w:hAnsiTheme="minorHAnsi"/>
          <w:noProof/>
          <w:color w:val="auto"/>
          <w:kern w:val="2"/>
          <w:lang w:eastAsia="en-GB"/>
          <w14:ligatures w14:val="standardContextual"/>
        </w:rPr>
      </w:pPr>
      <w:hyperlink w:anchor="_Toc230249749" w:history="1">
        <w:r w:rsidRPr="00CE6892">
          <w:rPr>
            <w:rStyle w:val="Hyperlink"/>
            <w:noProof/>
          </w:rPr>
          <w:t>3.3 Audit Committee</w:t>
        </w:r>
        <w:r>
          <w:rPr>
            <w:noProof/>
          </w:rPr>
          <w:tab/>
        </w:r>
        <w:r>
          <w:rPr>
            <w:noProof/>
          </w:rPr>
          <w:fldChar w:fldCharType="begin"/>
        </w:r>
        <w:r>
          <w:rPr>
            <w:noProof/>
          </w:rPr>
          <w:instrText xml:space="preserve"> PAGEREF _Toc230249749 \h </w:instrText>
        </w:r>
        <w:r>
          <w:rPr>
            <w:noProof/>
          </w:rPr>
        </w:r>
        <w:r>
          <w:rPr>
            <w:noProof/>
          </w:rPr>
          <w:fldChar w:fldCharType="separate"/>
        </w:r>
        <w:r w:rsidR="00140CD3">
          <w:rPr>
            <w:noProof/>
          </w:rPr>
          <w:t>8</w:t>
        </w:r>
        <w:r>
          <w:rPr>
            <w:noProof/>
          </w:rPr>
          <w:fldChar w:fldCharType="end"/>
        </w:r>
      </w:hyperlink>
    </w:p>
    <w:p w14:paraId="6AB78409" w14:textId="780B5F70" w:rsidR="004674E6" w:rsidRDefault="004674E6">
      <w:pPr>
        <w:pStyle w:val="TOC2"/>
        <w:rPr>
          <w:rFonts w:asciiTheme="minorHAnsi" w:eastAsiaTheme="minorEastAsia" w:hAnsiTheme="minorHAnsi"/>
          <w:noProof/>
          <w:color w:val="auto"/>
          <w:kern w:val="2"/>
          <w:lang w:eastAsia="en-GB"/>
          <w14:ligatures w14:val="standardContextual"/>
        </w:rPr>
      </w:pPr>
      <w:hyperlink w:anchor="_Toc230249750" w:history="1">
        <w:r w:rsidRPr="00CE6892">
          <w:rPr>
            <w:rStyle w:val="Hyperlink"/>
            <w:noProof/>
          </w:rPr>
          <w:t>3.4 Finance Committee (or equivalent)</w:t>
        </w:r>
        <w:r>
          <w:rPr>
            <w:noProof/>
          </w:rPr>
          <w:tab/>
        </w:r>
        <w:r>
          <w:rPr>
            <w:noProof/>
          </w:rPr>
          <w:fldChar w:fldCharType="begin"/>
        </w:r>
        <w:r>
          <w:rPr>
            <w:noProof/>
          </w:rPr>
          <w:instrText xml:space="preserve"> PAGEREF _Toc230249750 \h </w:instrText>
        </w:r>
        <w:r>
          <w:rPr>
            <w:noProof/>
          </w:rPr>
        </w:r>
        <w:r>
          <w:rPr>
            <w:noProof/>
          </w:rPr>
          <w:fldChar w:fldCharType="separate"/>
        </w:r>
        <w:r w:rsidR="00140CD3">
          <w:rPr>
            <w:noProof/>
          </w:rPr>
          <w:t>8</w:t>
        </w:r>
        <w:r>
          <w:rPr>
            <w:noProof/>
          </w:rPr>
          <w:fldChar w:fldCharType="end"/>
        </w:r>
      </w:hyperlink>
    </w:p>
    <w:p w14:paraId="1D513340" w14:textId="15E3AD85" w:rsidR="004674E6" w:rsidRDefault="004674E6">
      <w:pPr>
        <w:pStyle w:val="TOC1"/>
        <w:rPr>
          <w:rFonts w:asciiTheme="minorHAnsi" w:eastAsiaTheme="minorEastAsia" w:hAnsiTheme="minorHAnsi"/>
          <w:noProof/>
          <w:color w:val="auto"/>
          <w:kern w:val="2"/>
          <w:lang w:eastAsia="en-GB"/>
          <w14:ligatures w14:val="standardContextual"/>
        </w:rPr>
      </w:pPr>
      <w:hyperlink w:anchor="_Toc230249751" w:history="1">
        <w:r w:rsidRPr="00CE6892">
          <w:rPr>
            <w:rStyle w:val="Hyperlink"/>
            <w:noProof/>
          </w:rPr>
          <w:t>4. Annual reporting and accounts</w:t>
        </w:r>
        <w:r>
          <w:rPr>
            <w:noProof/>
          </w:rPr>
          <w:tab/>
        </w:r>
        <w:r>
          <w:rPr>
            <w:noProof/>
          </w:rPr>
          <w:fldChar w:fldCharType="begin"/>
        </w:r>
        <w:r>
          <w:rPr>
            <w:noProof/>
          </w:rPr>
          <w:instrText xml:space="preserve"> PAGEREF _Toc230249751 \h </w:instrText>
        </w:r>
        <w:r>
          <w:rPr>
            <w:noProof/>
          </w:rPr>
        </w:r>
        <w:r>
          <w:rPr>
            <w:noProof/>
          </w:rPr>
          <w:fldChar w:fldCharType="separate"/>
        </w:r>
        <w:r w:rsidR="00140CD3">
          <w:rPr>
            <w:noProof/>
          </w:rPr>
          <w:t>10</w:t>
        </w:r>
        <w:r>
          <w:rPr>
            <w:noProof/>
          </w:rPr>
          <w:fldChar w:fldCharType="end"/>
        </w:r>
      </w:hyperlink>
    </w:p>
    <w:p w14:paraId="4F27D9E4" w14:textId="018F6480" w:rsidR="004674E6" w:rsidRDefault="004674E6">
      <w:pPr>
        <w:pStyle w:val="TOC2"/>
        <w:rPr>
          <w:rFonts w:asciiTheme="minorHAnsi" w:eastAsiaTheme="minorEastAsia" w:hAnsiTheme="minorHAnsi"/>
          <w:noProof/>
          <w:color w:val="auto"/>
          <w:kern w:val="2"/>
          <w:lang w:eastAsia="en-GB"/>
          <w14:ligatures w14:val="standardContextual"/>
        </w:rPr>
      </w:pPr>
      <w:hyperlink w:anchor="_Toc230249752" w:history="1">
        <w:r w:rsidRPr="00CE6892">
          <w:rPr>
            <w:rStyle w:val="Hyperlink"/>
            <w:noProof/>
          </w:rPr>
          <w:t>4.1 Reporting</w:t>
        </w:r>
        <w:r>
          <w:rPr>
            <w:noProof/>
          </w:rPr>
          <w:tab/>
        </w:r>
        <w:r>
          <w:rPr>
            <w:noProof/>
          </w:rPr>
          <w:fldChar w:fldCharType="begin"/>
        </w:r>
        <w:r>
          <w:rPr>
            <w:noProof/>
          </w:rPr>
          <w:instrText xml:space="preserve"> PAGEREF _Toc230249752 \h </w:instrText>
        </w:r>
        <w:r>
          <w:rPr>
            <w:noProof/>
          </w:rPr>
        </w:r>
        <w:r>
          <w:rPr>
            <w:noProof/>
          </w:rPr>
          <w:fldChar w:fldCharType="separate"/>
        </w:r>
        <w:r w:rsidR="00140CD3">
          <w:rPr>
            <w:noProof/>
          </w:rPr>
          <w:t>10</w:t>
        </w:r>
        <w:r>
          <w:rPr>
            <w:noProof/>
          </w:rPr>
          <w:fldChar w:fldCharType="end"/>
        </w:r>
      </w:hyperlink>
    </w:p>
    <w:p w14:paraId="46DEF025" w14:textId="3E688DEF" w:rsidR="004674E6" w:rsidRDefault="004674E6">
      <w:pPr>
        <w:pStyle w:val="TOC2"/>
        <w:rPr>
          <w:rFonts w:asciiTheme="minorHAnsi" w:eastAsiaTheme="minorEastAsia" w:hAnsiTheme="minorHAnsi"/>
          <w:noProof/>
          <w:color w:val="auto"/>
          <w:kern w:val="2"/>
          <w:lang w:eastAsia="en-GB"/>
          <w14:ligatures w14:val="standardContextual"/>
        </w:rPr>
      </w:pPr>
      <w:hyperlink w:anchor="_Toc230249753" w:history="1">
        <w:r w:rsidRPr="00CE6892">
          <w:rPr>
            <w:rStyle w:val="Hyperlink"/>
            <w:noProof/>
          </w:rPr>
          <w:t>4.2 Internal audit</w:t>
        </w:r>
        <w:r>
          <w:rPr>
            <w:noProof/>
          </w:rPr>
          <w:tab/>
        </w:r>
        <w:r>
          <w:rPr>
            <w:noProof/>
          </w:rPr>
          <w:fldChar w:fldCharType="begin"/>
        </w:r>
        <w:r>
          <w:rPr>
            <w:noProof/>
          </w:rPr>
          <w:instrText xml:space="preserve"> PAGEREF _Toc230249753 \h </w:instrText>
        </w:r>
        <w:r>
          <w:rPr>
            <w:noProof/>
          </w:rPr>
        </w:r>
        <w:r>
          <w:rPr>
            <w:noProof/>
          </w:rPr>
          <w:fldChar w:fldCharType="separate"/>
        </w:r>
        <w:r w:rsidR="00140CD3">
          <w:rPr>
            <w:noProof/>
          </w:rPr>
          <w:t>10</w:t>
        </w:r>
        <w:r>
          <w:rPr>
            <w:noProof/>
          </w:rPr>
          <w:fldChar w:fldCharType="end"/>
        </w:r>
      </w:hyperlink>
    </w:p>
    <w:p w14:paraId="71AF9FFE" w14:textId="297E4542" w:rsidR="004674E6" w:rsidRDefault="004674E6">
      <w:pPr>
        <w:pStyle w:val="TOC2"/>
        <w:rPr>
          <w:rFonts w:asciiTheme="minorHAnsi" w:eastAsiaTheme="minorEastAsia" w:hAnsiTheme="minorHAnsi"/>
          <w:noProof/>
          <w:color w:val="auto"/>
          <w:kern w:val="2"/>
          <w:lang w:eastAsia="en-GB"/>
          <w14:ligatures w14:val="standardContextual"/>
        </w:rPr>
      </w:pPr>
      <w:hyperlink w:anchor="_Toc230249754" w:history="1">
        <w:r w:rsidRPr="00CE6892">
          <w:rPr>
            <w:rStyle w:val="Hyperlink"/>
            <w:noProof/>
          </w:rPr>
          <w:t>4.3 External audit</w:t>
        </w:r>
        <w:r>
          <w:rPr>
            <w:noProof/>
          </w:rPr>
          <w:tab/>
        </w:r>
        <w:r>
          <w:rPr>
            <w:noProof/>
          </w:rPr>
          <w:fldChar w:fldCharType="begin"/>
        </w:r>
        <w:r>
          <w:rPr>
            <w:noProof/>
          </w:rPr>
          <w:instrText xml:space="preserve"> PAGEREF _Toc230249754 \h </w:instrText>
        </w:r>
        <w:r>
          <w:rPr>
            <w:noProof/>
          </w:rPr>
        </w:r>
        <w:r>
          <w:rPr>
            <w:noProof/>
          </w:rPr>
          <w:fldChar w:fldCharType="separate"/>
        </w:r>
        <w:r w:rsidR="00140CD3">
          <w:rPr>
            <w:noProof/>
          </w:rPr>
          <w:t>11</w:t>
        </w:r>
        <w:r>
          <w:rPr>
            <w:noProof/>
          </w:rPr>
          <w:fldChar w:fldCharType="end"/>
        </w:r>
      </w:hyperlink>
    </w:p>
    <w:p w14:paraId="7999CA55" w14:textId="0CD0BB95" w:rsidR="004674E6" w:rsidRDefault="004674E6">
      <w:pPr>
        <w:pStyle w:val="TOC1"/>
        <w:rPr>
          <w:rFonts w:asciiTheme="minorHAnsi" w:eastAsiaTheme="minorEastAsia" w:hAnsiTheme="minorHAnsi"/>
          <w:noProof/>
          <w:color w:val="auto"/>
          <w:kern w:val="2"/>
          <w:lang w:eastAsia="en-GB"/>
          <w14:ligatures w14:val="standardContextual"/>
        </w:rPr>
      </w:pPr>
      <w:hyperlink w:anchor="_Toc230249755" w:history="1">
        <w:r w:rsidRPr="00CE6892">
          <w:rPr>
            <w:rStyle w:val="Hyperlink"/>
            <w:noProof/>
          </w:rPr>
          <w:t>5. Financial systems and processes</w:t>
        </w:r>
        <w:r>
          <w:rPr>
            <w:noProof/>
          </w:rPr>
          <w:tab/>
        </w:r>
        <w:r>
          <w:rPr>
            <w:noProof/>
          </w:rPr>
          <w:fldChar w:fldCharType="begin"/>
        </w:r>
        <w:r>
          <w:rPr>
            <w:noProof/>
          </w:rPr>
          <w:instrText xml:space="preserve"> PAGEREF _Toc230249755 \h </w:instrText>
        </w:r>
        <w:r>
          <w:rPr>
            <w:noProof/>
          </w:rPr>
        </w:r>
        <w:r>
          <w:rPr>
            <w:noProof/>
          </w:rPr>
          <w:fldChar w:fldCharType="separate"/>
        </w:r>
        <w:r w:rsidR="00140CD3">
          <w:rPr>
            <w:noProof/>
          </w:rPr>
          <w:t>12</w:t>
        </w:r>
        <w:r>
          <w:rPr>
            <w:noProof/>
          </w:rPr>
          <w:fldChar w:fldCharType="end"/>
        </w:r>
      </w:hyperlink>
    </w:p>
    <w:p w14:paraId="1BF410D9" w14:textId="5BEBB821" w:rsidR="004674E6" w:rsidRDefault="004674E6">
      <w:pPr>
        <w:pStyle w:val="TOC2"/>
        <w:rPr>
          <w:rFonts w:asciiTheme="minorHAnsi" w:eastAsiaTheme="minorEastAsia" w:hAnsiTheme="minorHAnsi"/>
          <w:noProof/>
          <w:color w:val="auto"/>
          <w:kern w:val="2"/>
          <w:lang w:eastAsia="en-GB"/>
          <w14:ligatures w14:val="standardContextual"/>
        </w:rPr>
      </w:pPr>
      <w:hyperlink w:anchor="_Toc230249756" w:history="1">
        <w:r w:rsidRPr="00CE6892">
          <w:rPr>
            <w:rStyle w:val="Hyperlink"/>
            <w:noProof/>
          </w:rPr>
          <w:t>5.1 Provision of finance systems</w:t>
        </w:r>
        <w:r>
          <w:rPr>
            <w:noProof/>
          </w:rPr>
          <w:tab/>
        </w:r>
        <w:r>
          <w:rPr>
            <w:noProof/>
          </w:rPr>
          <w:fldChar w:fldCharType="begin"/>
        </w:r>
        <w:r>
          <w:rPr>
            <w:noProof/>
          </w:rPr>
          <w:instrText xml:space="preserve"> PAGEREF _Toc230249756 \h </w:instrText>
        </w:r>
        <w:r>
          <w:rPr>
            <w:noProof/>
          </w:rPr>
        </w:r>
        <w:r>
          <w:rPr>
            <w:noProof/>
          </w:rPr>
          <w:fldChar w:fldCharType="separate"/>
        </w:r>
        <w:r w:rsidR="00140CD3">
          <w:rPr>
            <w:noProof/>
          </w:rPr>
          <w:t>12</w:t>
        </w:r>
        <w:r>
          <w:rPr>
            <w:noProof/>
          </w:rPr>
          <w:fldChar w:fldCharType="end"/>
        </w:r>
      </w:hyperlink>
    </w:p>
    <w:p w14:paraId="7D3712F2" w14:textId="2D43CF97" w:rsidR="004674E6" w:rsidRDefault="004674E6">
      <w:pPr>
        <w:pStyle w:val="TOC1"/>
        <w:rPr>
          <w:rFonts w:asciiTheme="minorHAnsi" w:eastAsiaTheme="minorEastAsia" w:hAnsiTheme="minorHAnsi"/>
          <w:noProof/>
          <w:color w:val="auto"/>
          <w:kern w:val="2"/>
          <w:lang w:eastAsia="en-GB"/>
          <w14:ligatures w14:val="standardContextual"/>
        </w:rPr>
      </w:pPr>
      <w:hyperlink w:anchor="_Toc230249757" w:history="1">
        <w:r w:rsidRPr="00CE6892">
          <w:rPr>
            <w:rStyle w:val="Hyperlink"/>
            <w:noProof/>
          </w:rPr>
          <w:t>6. Planning, Budgets and Budgetary Control</w:t>
        </w:r>
        <w:r>
          <w:rPr>
            <w:noProof/>
          </w:rPr>
          <w:tab/>
        </w:r>
        <w:r>
          <w:rPr>
            <w:noProof/>
          </w:rPr>
          <w:fldChar w:fldCharType="begin"/>
        </w:r>
        <w:r>
          <w:rPr>
            <w:noProof/>
          </w:rPr>
          <w:instrText xml:space="preserve"> PAGEREF _Toc230249757 \h </w:instrText>
        </w:r>
        <w:r>
          <w:rPr>
            <w:noProof/>
          </w:rPr>
        </w:r>
        <w:r>
          <w:rPr>
            <w:noProof/>
          </w:rPr>
          <w:fldChar w:fldCharType="separate"/>
        </w:r>
        <w:r w:rsidR="00140CD3">
          <w:rPr>
            <w:noProof/>
          </w:rPr>
          <w:t>14</w:t>
        </w:r>
        <w:r>
          <w:rPr>
            <w:noProof/>
          </w:rPr>
          <w:fldChar w:fldCharType="end"/>
        </w:r>
      </w:hyperlink>
    </w:p>
    <w:p w14:paraId="44DEBE02" w14:textId="18B67758" w:rsidR="004674E6" w:rsidRDefault="004674E6">
      <w:pPr>
        <w:pStyle w:val="TOC2"/>
        <w:rPr>
          <w:rFonts w:asciiTheme="minorHAnsi" w:eastAsiaTheme="minorEastAsia" w:hAnsiTheme="minorHAnsi"/>
          <w:noProof/>
          <w:color w:val="auto"/>
          <w:kern w:val="2"/>
          <w:lang w:eastAsia="en-GB"/>
          <w14:ligatures w14:val="standardContextual"/>
        </w:rPr>
      </w:pPr>
      <w:hyperlink w:anchor="_Toc230249758" w:history="1">
        <w:r w:rsidRPr="00CE6892">
          <w:rPr>
            <w:rStyle w:val="Hyperlink"/>
            <w:noProof/>
          </w:rPr>
          <w:t>6.1 Planning</w:t>
        </w:r>
        <w:r>
          <w:rPr>
            <w:noProof/>
          </w:rPr>
          <w:tab/>
        </w:r>
        <w:r>
          <w:rPr>
            <w:noProof/>
          </w:rPr>
          <w:fldChar w:fldCharType="begin"/>
        </w:r>
        <w:r>
          <w:rPr>
            <w:noProof/>
          </w:rPr>
          <w:instrText xml:space="preserve"> PAGEREF _Toc230249758 \h </w:instrText>
        </w:r>
        <w:r>
          <w:rPr>
            <w:noProof/>
          </w:rPr>
        </w:r>
        <w:r>
          <w:rPr>
            <w:noProof/>
          </w:rPr>
          <w:fldChar w:fldCharType="separate"/>
        </w:r>
        <w:r w:rsidR="00140CD3">
          <w:rPr>
            <w:noProof/>
          </w:rPr>
          <w:t>14</w:t>
        </w:r>
        <w:r>
          <w:rPr>
            <w:noProof/>
          </w:rPr>
          <w:fldChar w:fldCharType="end"/>
        </w:r>
      </w:hyperlink>
    </w:p>
    <w:p w14:paraId="302C2260" w14:textId="418AF264" w:rsidR="004674E6" w:rsidRDefault="004674E6">
      <w:pPr>
        <w:pStyle w:val="TOC2"/>
        <w:rPr>
          <w:rFonts w:asciiTheme="minorHAnsi" w:eastAsiaTheme="minorEastAsia" w:hAnsiTheme="minorHAnsi"/>
          <w:noProof/>
          <w:color w:val="auto"/>
          <w:kern w:val="2"/>
          <w:lang w:eastAsia="en-GB"/>
          <w14:ligatures w14:val="standardContextual"/>
        </w:rPr>
      </w:pPr>
      <w:hyperlink w:anchor="_Toc230249759" w:history="1">
        <w:r w:rsidRPr="00CE6892">
          <w:rPr>
            <w:rStyle w:val="Hyperlink"/>
            <w:noProof/>
          </w:rPr>
          <w:t>6.2 Allocations</w:t>
        </w:r>
        <w:r>
          <w:rPr>
            <w:noProof/>
          </w:rPr>
          <w:tab/>
        </w:r>
        <w:r>
          <w:rPr>
            <w:noProof/>
          </w:rPr>
          <w:fldChar w:fldCharType="begin"/>
        </w:r>
        <w:r>
          <w:rPr>
            <w:noProof/>
          </w:rPr>
          <w:instrText xml:space="preserve"> PAGEREF _Toc230249759 \h </w:instrText>
        </w:r>
        <w:r>
          <w:rPr>
            <w:noProof/>
          </w:rPr>
        </w:r>
        <w:r>
          <w:rPr>
            <w:noProof/>
          </w:rPr>
          <w:fldChar w:fldCharType="separate"/>
        </w:r>
        <w:r w:rsidR="00140CD3">
          <w:rPr>
            <w:noProof/>
          </w:rPr>
          <w:t>14</w:t>
        </w:r>
        <w:r>
          <w:rPr>
            <w:noProof/>
          </w:rPr>
          <w:fldChar w:fldCharType="end"/>
        </w:r>
      </w:hyperlink>
    </w:p>
    <w:p w14:paraId="282F99F0" w14:textId="3224C35F" w:rsidR="004674E6" w:rsidRDefault="004674E6">
      <w:pPr>
        <w:pStyle w:val="TOC2"/>
        <w:rPr>
          <w:rFonts w:asciiTheme="minorHAnsi" w:eastAsiaTheme="minorEastAsia" w:hAnsiTheme="minorHAnsi"/>
          <w:noProof/>
          <w:color w:val="auto"/>
          <w:kern w:val="2"/>
          <w:lang w:eastAsia="en-GB"/>
          <w14:ligatures w14:val="standardContextual"/>
        </w:rPr>
      </w:pPr>
      <w:hyperlink w:anchor="_Toc230249760" w:history="1">
        <w:r w:rsidRPr="00CE6892">
          <w:rPr>
            <w:rStyle w:val="Hyperlink"/>
            <w:noProof/>
          </w:rPr>
          <w:t>6.3 Budgetary control and reporting</w:t>
        </w:r>
        <w:r>
          <w:rPr>
            <w:noProof/>
          </w:rPr>
          <w:tab/>
        </w:r>
        <w:r>
          <w:rPr>
            <w:noProof/>
          </w:rPr>
          <w:fldChar w:fldCharType="begin"/>
        </w:r>
        <w:r>
          <w:rPr>
            <w:noProof/>
          </w:rPr>
          <w:instrText xml:space="preserve"> PAGEREF _Toc230249760 \h </w:instrText>
        </w:r>
        <w:r>
          <w:rPr>
            <w:noProof/>
          </w:rPr>
        </w:r>
        <w:r>
          <w:rPr>
            <w:noProof/>
          </w:rPr>
          <w:fldChar w:fldCharType="separate"/>
        </w:r>
        <w:r w:rsidR="00140CD3">
          <w:rPr>
            <w:noProof/>
          </w:rPr>
          <w:t>15</w:t>
        </w:r>
        <w:r>
          <w:rPr>
            <w:noProof/>
          </w:rPr>
          <w:fldChar w:fldCharType="end"/>
        </w:r>
      </w:hyperlink>
    </w:p>
    <w:p w14:paraId="45315697" w14:textId="4490BE9E" w:rsidR="004674E6" w:rsidRDefault="004674E6">
      <w:pPr>
        <w:pStyle w:val="TOC2"/>
        <w:rPr>
          <w:rFonts w:asciiTheme="minorHAnsi" w:eastAsiaTheme="minorEastAsia" w:hAnsiTheme="minorHAnsi"/>
          <w:noProof/>
          <w:color w:val="auto"/>
          <w:kern w:val="2"/>
          <w:lang w:eastAsia="en-GB"/>
          <w14:ligatures w14:val="standardContextual"/>
        </w:rPr>
      </w:pPr>
      <w:hyperlink w:anchor="_Toc230249761" w:history="1">
        <w:r w:rsidRPr="00CE6892">
          <w:rPr>
            <w:rStyle w:val="Hyperlink"/>
            <w:noProof/>
          </w:rPr>
          <w:t>6.4 Budget holder responsibilities</w:t>
        </w:r>
        <w:r>
          <w:rPr>
            <w:noProof/>
          </w:rPr>
          <w:tab/>
        </w:r>
        <w:r>
          <w:rPr>
            <w:noProof/>
          </w:rPr>
          <w:fldChar w:fldCharType="begin"/>
        </w:r>
        <w:r>
          <w:rPr>
            <w:noProof/>
          </w:rPr>
          <w:instrText xml:space="preserve"> PAGEREF _Toc230249761 \h </w:instrText>
        </w:r>
        <w:r>
          <w:rPr>
            <w:noProof/>
          </w:rPr>
        </w:r>
        <w:r>
          <w:rPr>
            <w:noProof/>
          </w:rPr>
          <w:fldChar w:fldCharType="separate"/>
        </w:r>
        <w:r w:rsidR="00140CD3">
          <w:rPr>
            <w:noProof/>
          </w:rPr>
          <w:t>16</w:t>
        </w:r>
        <w:r>
          <w:rPr>
            <w:noProof/>
          </w:rPr>
          <w:fldChar w:fldCharType="end"/>
        </w:r>
      </w:hyperlink>
    </w:p>
    <w:p w14:paraId="10D3C6DC" w14:textId="06927308" w:rsidR="004674E6" w:rsidRDefault="004674E6">
      <w:pPr>
        <w:pStyle w:val="TOC2"/>
        <w:rPr>
          <w:rFonts w:asciiTheme="minorHAnsi" w:eastAsiaTheme="minorEastAsia" w:hAnsiTheme="minorHAnsi"/>
          <w:noProof/>
          <w:color w:val="auto"/>
          <w:kern w:val="2"/>
          <w:lang w:eastAsia="en-GB"/>
          <w14:ligatures w14:val="standardContextual"/>
        </w:rPr>
      </w:pPr>
      <w:hyperlink w:anchor="_Toc230249762" w:history="1">
        <w:r w:rsidRPr="00CE6892">
          <w:rPr>
            <w:rStyle w:val="Hyperlink"/>
            <w:noProof/>
          </w:rPr>
          <w:t>6.5 Virement</w:t>
        </w:r>
        <w:r>
          <w:rPr>
            <w:noProof/>
          </w:rPr>
          <w:tab/>
        </w:r>
        <w:r>
          <w:rPr>
            <w:noProof/>
          </w:rPr>
          <w:fldChar w:fldCharType="begin"/>
        </w:r>
        <w:r>
          <w:rPr>
            <w:noProof/>
          </w:rPr>
          <w:instrText xml:space="preserve"> PAGEREF _Toc230249762 \h </w:instrText>
        </w:r>
        <w:r>
          <w:rPr>
            <w:noProof/>
          </w:rPr>
        </w:r>
        <w:r>
          <w:rPr>
            <w:noProof/>
          </w:rPr>
          <w:fldChar w:fldCharType="separate"/>
        </w:r>
        <w:r w:rsidR="00140CD3">
          <w:rPr>
            <w:noProof/>
          </w:rPr>
          <w:t>18</w:t>
        </w:r>
        <w:r>
          <w:rPr>
            <w:noProof/>
          </w:rPr>
          <w:fldChar w:fldCharType="end"/>
        </w:r>
      </w:hyperlink>
    </w:p>
    <w:p w14:paraId="27809DE5" w14:textId="031D1152" w:rsidR="004674E6" w:rsidRDefault="004674E6">
      <w:pPr>
        <w:pStyle w:val="TOC2"/>
        <w:rPr>
          <w:rFonts w:asciiTheme="minorHAnsi" w:eastAsiaTheme="minorEastAsia" w:hAnsiTheme="minorHAnsi"/>
          <w:noProof/>
          <w:color w:val="auto"/>
          <w:kern w:val="2"/>
          <w:lang w:eastAsia="en-GB"/>
          <w14:ligatures w14:val="standardContextual"/>
        </w:rPr>
      </w:pPr>
      <w:hyperlink w:anchor="_Toc230249763" w:history="1">
        <w:r w:rsidRPr="00CE6892">
          <w:rPr>
            <w:rStyle w:val="Hyperlink"/>
            <w:noProof/>
          </w:rPr>
          <w:t>6.6 Reserves</w:t>
        </w:r>
        <w:r>
          <w:rPr>
            <w:noProof/>
          </w:rPr>
          <w:tab/>
        </w:r>
        <w:r>
          <w:rPr>
            <w:noProof/>
          </w:rPr>
          <w:fldChar w:fldCharType="begin"/>
        </w:r>
        <w:r>
          <w:rPr>
            <w:noProof/>
          </w:rPr>
          <w:instrText xml:space="preserve"> PAGEREF _Toc230249763 \h </w:instrText>
        </w:r>
        <w:r>
          <w:rPr>
            <w:noProof/>
          </w:rPr>
        </w:r>
        <w:r>
          <w:rPr>
            <w:noProof/>
          </w:rPr>
          <w:fldChar w:fldCharType="separate"/>
        </w:r>
        <w:r w:rsidR="00140CD3">
          <w:rPr>
            <w:noProof/>
          </w:rPr>
          <w:t>20</w:t>
        </w:r>
        <w:r>
          <w:rPr>
            <w:noProof/>
          </w:rPr>
          <w:fldChar w:fldCharType="end"/>
        </w:r>
      </w:hyperlink>
    </w:p>
    <w:p w14:paraId="0C3627F8" w14:textId="37EF7BCE" w:rsidR="004674E6" w:rsidRDefault="004674E6">
      <w:pPr>
        <w:pStyle w:val="TOC2"/>
        <w:rPr>
          <w:rFonts w:asciiTheme="minorHAnsi" w:eastAsiaTheme="minorEastAsia" w:hAnsiTheme="minorHAnsi"/>
          <w:noProof/>
          <w:color w:val="auto"/>
          <w:kern w:val="2"/>
          <w:lang w:eastAsia="en-GB"/>
          <w14:ligatures w14:val="standardContextual"/>
        </w:rPr>
      </w:pPr>
      <w:hyperlink w:anchor="_Toc230249764" w:history="1">
        <w:r w:rsidRPr="00CE6892">
          <w:rPr>
            <w:rStyle w:val="Hyperlink"/>
            <w:noProof/>
          </w:rPr>
          <w:t>6.7 Capital expenditure</w:t>
        </w:r>
        <w:r>
          <w:rPr>
            <w:noProof/>
          </w:rPr>
          <w:tab/>
        </w:r>
        <w:r>
          <w:rPr>
            <w:noProof/>
          </w:rPr>
          <w:fldChar w:fldCharType="begin"/>
        </w:r>
        <w:r>
          <w:rPr>
            <w:noProof/>
          </w:rPr>
          <w:instrText xml:space="preserve"> PAGEREF _Toc230249764 \h </w:instrText>
        </w:r>
        <w:r>
          <w:rPr>
            <w:noProof/>
          </w:rPr>
        </w:r>
        <w:r>
          <w:rPr>
            <w:noProof/>
          </w:rPr>
          <w:fldChar w:fldCharType="separate"/>
        </w:r>
        <w:r w:rsidR="00140CD3">
          <w:rPr>
            <w:noProof/>
          </w:rPr>
          <w:t>20</w:t>
        </w:r>
        <w:r>
          <w:rPr>
            <w:noProof/>
          </w:rPr>
          <w:fldChar w:fldCharType="end"/>
        </w:r>
      </w:hyperlink>
    </w:p>
    <w:p w14:paraId="14A81D67" w14:textId="72394DEC" w:rsidR="004674E6" w:rsidRDefault="004674E6">
      <w:pPr>
        <w:pStyle w:val="TOC2"/>
        <w:rPr>
          <w:rFonts w:asciiTheme="minorHAnsi" w:eastAsiaTheme="minorEastAsia" w:hAnsiTheme="minorHAnsi"/>
          <w:noProof/>
          <w:color w:val="auto"/>
          <w:kern w:val="2"/>
          <w:lang w:eastAsia="en-GB"/>
          <w14:ligatures w14:val="standardContextual"/>
        </w:rPr>
      </w:pPr>
      <w:hyperlink w:anchor="_Toc230249765" w:history="1">
        <w:r w:rsidRPr="00CE6892">
          <w:rPr>
            <w:rStyle w:val="Hyperlink"/>
            <w:noProof/>
          </w:rPr>
          <w:t>6.8 Monitoring returns</w:t>
        </w:r>
        <w:r>
          <w:rPr>
            <w:noProof/>
          </w:rPr>
          <w:tab/>
        </w:r>
        <w:r>
          <w:rPr>
            <w:noProof/>
          </w:rPr>
          <w:fldChar w:fldCharType="begin"/>
        </w:r>
        <w:r>
          <w:rPr>
            <w:noProof/>
          </w:rPr>
          <w:instrText xml:space="preserve"> PAGEREF _Toc230249765 \h </w:instrText>
        </w:r>
        <w:r>
          <w:rPr>
            <w:noProof/>
          </w:rPr>
        </w:r>
        <w:r>
          <w:rPr>
            <w:noProof/>
          </w:rPr>
          <w:fldChar w:fldCharType="separate"/>
        </w:r>
        <w:r w:rsidR="00140CD3">
          <w:rPr>
            <w:noProof/>
          </w:rPr>
          <w:t>20</w:t>
        </w:r>
        <w:r>
          <w:rPr>
            <w:noProof/>
          </w:rPr>
          <w:fldChar w:fldCharType="end"/>
        </w:r>
      </w:hyperlink>
    </w:p>
    <w:p w14:paraId="107CB6C3" w14:textId="4D25978F" w:rsidR="004674E6" w:rsidRDefault="004674E6">
      <w:pPr>
        <w:pStyle w:val="TOC1"/>
        <w:rPr>
          <w:rFonts w:asciiTheme="minorHAnsi" w:eastAsiaTheme="minorEastAsia" w:hAnsiTheme="minorHAnsi"/>
          <w:noProof/>
          <w:color w:val="auto"/>
          <w:kern w:val="2"/>
          <w:lang w:eastAsia="en-GB"/>
          <w14:ligatures w14:val="standardContextual"/>
        </w:rPr>
      </w:pPr>
      <w:hyperlink w:anchor="_Toc230249766" w:history="1">
        <w:r w:rsidRPr="00CE6892">
          <w:rPr>
            <w:rStyle w:val="Hyperlink"/>
            <w:noProof/>
          </w:rPr>
          <w:t>7. Income, banking arrangements and debt recovery</w:t>
        </w:r>
        <w:r>
          <w:rPr>
            <w:noProof/>
          </w:rPr>
          <w:tab/>
        </w:r>
        <w:r>
          <w:rPr>
            <w:noProof/>
          </w:rPr>
          <w:fldChar w:fldCharType="begin"/>
        </w:r>
        <w:r>
          <w:rPr>
            <w:noProof/>
          </w:rPr>
          <w:instrText xml:space="preserve"> PAGEREF _Toc230249766 \h </w:instrText>
        </w:r>
        <w:r>
          <w:rPr>
            <w:noProof/>
          </w:rPr>
        </w:r>
        <w:r>
          <w:rPr>
            <w:noProof/>
          </w:rPr>
          <w:fldChar w:fldCharType="separate"/>
        </w:r>
        <w:r w:rsidR="00140CD3">
          <w:rPr>
            <w:noProof/>
          </w:rPr>
          <w:t>21</w:t>
        </w:r>
        <w:r>
          <w:rPr>
            <w:noProof/>
          </w:rPr>
          <w:fldChar w:fldCharType="end"/>
        </w:r>
      </w:hyperlink>
    </w:p>
    <w:p w14:paraId="1B7C0F1D" w14:textId="5D345AC7" w:rsidR="004674E6" w:rsidRDefault="004674E6">
      <w:pPr>
        <w:pStyle w:val="TOC2"/>
        <w:rPr>
          <w:rFonts w:asciiTheme="minorHAnsi" w:eastAsiaTheme="minorEastAsia" w:hAnsiTheme="minorHAnsi"/>
          <w:noProof/>
          <w:color w:val="auto"/>
          <w:kern w:val="2"/>
          <w:lang w:eastAsia="en-GB"/>
          <w14:ligatures w14:val="standardContextual"/>
        </w:rPr>
      </w:pPr>
      <w:hyperlink w:anchor="_Toc230249767" w:history="1">
        <w:r w:rsidRPr="00CE6892">
          <w:rPr>
            <w:rStyle w:val="Hyperlink"/>
            <w:noProof/>
          </w:rPr>
          <w:t>7.1 Income</w:t>
        </w:r>
        <w:r>
          <w:rPr>
            <w:noProof/>
          </w:rPr>
          <w:tab/>
        </w:r>
        <w:r>
          <w:rPr>
            <w:noProof/>
          </w:rPr>
          <w:fldChar w:fldCharType="begin"/>
        </w:r>
        <w:r>
          <w:rPr>
            <w:noProof/>
          </w:rPr>
          <w:instrText xml:space="preserve"> PAGEREF _Toc230249767 \h </w:instrText>
        </w:r>
        <w:r>
          <w:rPr>
            <w:noProof/>
          </w:rPr>
        </w:r>
        <w:r>
          <w:rPr>
            <w:noProof/>
          </w:rPr>
          <w:fldChar w:fldCharType="separate"/>
        </w:r>
        <w:r w:rsidR="00140CD3">
          <w:rPr>
            <w:noProof/>
          </w:rPr>
          <w:t>21</w:t>
        </w:r>
        <w:r>
          <w:rPr>
            <w:noProof/>
          </w:rPr>
          <w:fldChar w:fldCharType="end"/>
        </w:r>
      </w:hyperlink>
    </w:p>
    <w:p w14:paraId="015C8ED3" w14:textId="0E27C871" w:rsidR="004674E6" w:rsidRDefault="004674E6">
      <w:pPr>
        <w:pStyle w:val="TOC2"/>
        <w:rPr>
          <w:rFonts w:asciiTheme="minorHAnsi" w:eastAsiaTheme="minorEastAsia" w:hAnsiTheme="minorHAnsi"/>
          <w:noProof/>
          <w:color w:val="auto"/>
          <w:kern w:val="2"/>
          <w:lang w:eastAsia="en-GB"/>
          <w14:ligatures w14:val="standardContextual"/>
        </w:rPr>
      </w:pPr>
      <w:hyperlink w:anchor="_Toc230249768" w:history="1">
        <w:r w:rsidRPr="00CE6892">
          <w:rPr>
            <w:rStyle w:val="Hyperlink"/>
            <w:noProof/>
          </w:rPr>
          <w:t>7.2 Banking</w:t>
        </w:r>
        <w:r>
          <w:rPr>
            <w:noProof/>
          </w:rPr>
          <w:tab/>
        </w:r>
        <w:r>
          <w:rPr>
            <w:noProof/>
          </w:rPr>
          <w:fldChar w:fldCharType="begin"/>
        </w:r>
        <w:r>
          <w:rPr>
            <w:noProof/>
          </w:rPr>
          <w:instrText xml:space="preserve"> PAGEREF _Toc230249768 \h </w:instrText>
        </w:r>
        <w:r>
          <w:rPr>
            <w:noProof/>
          </w:rPr>
        </w:r>
        <w:r>
          <w:rPr>
            <w:noProof/>
          </w:rPr>
          <w:fldChar w:fldCharType="separate"/>
        </w:r>
        <w:r w:rsidR="00140CD3">
          <w:rPr>
            <w:noProof/>
          </w:rPr>
          <w:t>21</w:t>
        </w:r>
        <w:r>
          <w:rPr>
            <w:noProof/>
          </w:rPr>
          <w:fldChar w:fldCharType="end"/>
        </w:r>
      </w:hyperlink>
    </w:p>
    <w:p w14:paraId="56DFEC79" w14:textId="73717883" w:rsidR="004674E6" w:rsidRDefault="004674E6">
      <w:pPr>
        <w:pStyle w:val="TOC2"/>
        <w:rPr>
          <w:rFonts w:asciiTheme="minorHAnsi" w:eastAsiaTheme="minorEastAsia" w:hAnsiTheme="minorHAnsi"/>
          <w:noProof/>
          <w:color w:val="auto"/>
          <w:kern w:val="2"/>
          <w:lang w:eastAsia="en-GB"/>
          <w14:ligatures w14:val="standardContextual"/>
        </w:rPr>
      </w:pPr>
      <w:hyperlink w:anchor="_Toc230249769" w:history="1">
        <w:r w:rsidRPr="00CE6892">
          <w:rPr>
            <w:rStyle w:val="Hyperlink"/>
            <w:noProof/>
          </w:rPr>
          <w:t>7.3 Debt management</w:t>
        </w:r>
        <w:r>
          <w:rPr>
            <w:noProof/>
          </w:rPr>
          <w:tab/>
        </w:r>
        <w:r>
          <w:rPr>
            <w:noProof/>
          </w:rPr>
          <w:fldChar w:fldCharType="begin"/>
        </w:r>
        <w:r>
          <w:rPr>
            <w:noProof/>
          </w:rPr>
          <w:instrText xml:space="preserve"> PAGEREF _Toc230249769 \h </w:instrText>
        </w:r>
        <w:r>
          <w:rPr>
            <w:noProof/>
          </w:rPr>
        </w:r>
        <w:r>
          <w:rPr>
            <w:noProof/>
          </w:rPr>
          <w:fldChar w:fldCharType="separate"/>
        </w:r>
        <w:r w:rsidR="00140CD3">
          <w:rPr>
            <w:noProof/>
          </w:rPr>
          <w:t>22</w:t>
        </w:r>
        <w:r>
          <w:rPr>
            <w:noProof/>
          </w:rPr>
          <w:fldChar w:fldCharType="end"/>
        </w:r>
      </w:hyperlink>
    </w:p>
    <w:p w14:paraId="677FC429" w14:textId="0D34141B" w:rsidR="004674E6" w:rsidRDefault="004674E6">
      <w:pPr>
        <w:pStyle w:val="TOC2"/>
        <w:rPr>
          <w:rFonts w:asciiTheme="minorHAnsi" w:eastAsiaTheme="minorEastAsia" w:hAnsiTheme="minorHAnsi"/>
          <w:noProof/>
          <w:color w:val="auto"/>
          <w:kern w:val="2"/>
          <w:lang w:eastAsia="en-GB"/>
          <w14:ligatures w14:val="standardContextual"/>
        </w:rPr>
      </w:pPr>
      <w:hyperlink w:anchor="_Toc230249770" w:history="1">
        <w:r w:rsidRPr="00CE6892">
          <w:rPr>
            <w:rStyle w:val="Hyperlink"/>
            <w:noProof/>
          </w:rPr>
          <w:t>7.4 Security of cash</w:t>
        </w:r>
        <w:r>
          <w:rPr>
            <w:noProof/>
          </w:rPr>
          <w:tab/>
        </w:r>
        <w:r>
          <w:rPr>
            <w:noProof/>
          </w:rPr>
          <w:fldChar w:fldCharType="begin"/>
        </w:r>
        <w:r>
          <w:rPr>
            <w:noProof/>
          </w:rPr>
          <w:instrText xml:space="preserve"> PAGEREF _Toc230249770 \h </w:instrText>
        </w:r>
        <w:r>
          <w:rPr>
            <w:noProof/>
          </w:rPr>
        </w:r>
        <w:r>
          <w:rPr>
            <w:noProof/>
          </w:rPr>
          <w:fldChar w:fldCharType="separate"/>
        </w:r>
        <w:r w:rsidR="00140CD3">
          <w:rPr>
            <w:noProof/>
          </w:rPr>
          <w:t>22</w:t>
        </w:r>
        <w:r>
          <w:rPr>
            <w:noProof/>
          </w:rPr>
          <w:fldChar w:fldCharType="end"/>
        </w:r>
      </w:hyperlink>
    </w:p>
    <w:p w14:paraId="2B9534E8" w14:textId="0A051F71" w:rsidR="004674E6" w:rsidRDefault="004674E6">
      <w:pPr>
        <w:pStyle w:val="TOC1"/>
        <w:rPr>
          <w:rFonts w:asciiTheme="minorHAnsi" w:eastAsiaTheme="minorEastAsia" w:hAnsiTheme="minorHAnsi"/>
          <w:noProof/>
          <w:color w:val="auto"/>
          <w:kern w:val="2"/>
          <w:lang w:eastAsia="en-GB"/>
          <w14:ligatures w14:val="standardContextual"/>
        </w:rPr>
      </w:pPr>
      <w:hyperlink w:anchor="_Toc230249771" w:history="1">
        <w:r w:rsidRPr="00CE6892">
          <w:rPr>
            <w:rStyle w:val="Hyperlink"/>
            <w:noProof/>
          </w:rPr>
          <w:t>8. Procurement and purchasing</w:t>
        </w:r>
        <w:r>
          <w:rPr>
            <w:noProof/>
          </w:rPr>
          <w:tab/>
        </w:r>
        <w:r>
          <w:rPr>
            <w:noProof/>
          </w:rPr>
          <w:fldChar w:fldCharType="begin"/>
        </w:r>
        <w:r>
          <w:rPr>
            <w:noProof/>
          </w:rPr>
          <w:instrText xml:space="preserve"> PAGEREF _Toc230249771 \h </w:instrText>
        </w:r>
        <w:r>
          <w:rPr>
            <w:noProof/>
          </w:rPr>
        </w:r>
        <w:r>
          <w:rPr>
            <w:noProof/>
          </w:rPr>
          <w:fldChar w:fldCharType="separate"/>
        </w:r>
        <w:r w:rsidR="00140CD3">
          <w:rPr>
            <w:noProof/>
          </w:rPr>
          <w:t>24</w:t>
        </w:r>
        <w:r>
          <w:rPr>
            <w:noProof/>
          </w:rPr>
          <w:fldChar w:fldCharType="end"/>
        </w:r>
      </w:hyperlink>
    </w:p>
    <w:p w14:paraId="161B8439" w14:textId="2E68EF5E" w:rsidR="004674E6" w:rsidRDefault="004674E6">
      <w:pPr>
        <w:pStyle w:val="TOC2"/>
        <w:rPr>
          <w:rFonts w:asciiTheme="minorHAnsi" w:eastAsiaTheme="minorEastAsia" w:hAnsiTheme="minorHAnsi"/>
          <w:noProof/>
          <w:color w:val="auto"/>
          <w:kern w:val="2"/>
          <w:lang w:eastAsia="en-GB"/>
          <w14:ligatures w14:val="standardContextual"/>
        </w:rPr>
      </w:pPr>
      <w:hyperlink w:anchor="_Toc230249772" w:history="1">
        <w:r w:rsidRPr="00CE6892">
          <w:rPr>
            <w:rStyle w:val="Hyperlink"/>
            <w:noProof/>
          </w:rPr>
          <w:t>8.1 Principles</w:t>
        </w:r>
        <w:r>
          <w:rPr>
            <w:noProof/>
          </w:rPr>
          <w:tab/>
        </w:r>
        <w:r>
          <w:rPr>
            <w:noProof/>
          </w:rPr>
          <w:fldChar w:fldCharType="begin"/>
        </w:r>
        <w:r>
          <w:rPr>
            <w:noProof/>
          </w:rPr>
          <w:instrText xml:space="preserve"> PAGEREF _Toc230249772 \h </w:instrText>
        </w:r>
        <w:r>
          <w:rPr>
            <w:noProof/>
          </w:rPr>
        </w:r>
        <w:r>
          <w:rPr>
            <w:noProof/>
          </w:rPr>
          <w:fldChar w:fldCharType="separate"/>
        </w:r>
        <w:r w:rsidR="00140CD3">
          <w:rPr>
            <w:noProof/>
          </w:rPr>
          <w:t>24</w:t>
        </w:r>
        <w:r>
          <w:rPr>
            <w:noProof/>
          </w:rPr>
          <w:fldChar w:fldCharType="end"/>
        </w:r>
      </w:hyperlink>
    </w:p>
    <w:p w14:paraId="38AC2D50" w14:textId="2A86154F" w:rsidR="004674E6" w:rsidRDefault="004674E6">
      <w:pPr>
        <w:pStyle w:val="TOC2"/>
        <w:rPr>
          <w:rFonts w:asciiTheme="minorHAnsi" w:eastAsiaTheme="minorEastAsia" w:hAnsiTheme="minorHAnsi"/>
          <w:noProof/>
          <w:color w:val="auto"/>
          <w:kern w:val="2"/>
          <w:lang w:eastAsia="en-GB"/>
          <w14:ligatures w14:val="standardContextual"/>
        </w:rPr>
      </w:pPr>
      <w:hyperlink w:anchor="_Toc230249773" w:history="1">
        <w:r w:rsidRPr="00CE6892">
          <w:rPr>
            <w:rStyle w:val="Hyperlink"/>
            <w:noProof/>
          </w:rPr>
          <w:t>8.2 Authorisation to procure</w:t>
        </w:r>
        <w:r>
          <w:rPr>
            <w:noProof/>
          </w:rPr>
          <w:tab/>
        </w:r>
        <w:r>
          <w:rPr>
            <w:noProof/>
          </w:rPr>
          <w:fldChar w:fldCharType="begin"/>
        </w:r>
        <w:r>
          <w:rPr>
            <w:noProof/>
          </w:rPr>
          <w:instrText xml:space="preserve"> PAGEREF _Toc230249773 \h </w:instrText>
        </w:r>
        <w:r>
          <w:rPr>
            <w:noProof/>
          </w:rPr>
        </w:r>
        <w:r>
          <w:rPr>
            <w:noProof/>
          </w:rPr>
          <w:fldChar w:fldCharType="separate"/>
        </w:r>
        <w:r w:rsidR="00140CD3">
          <w:rPr>
            <w:noProof/>
          </w:rPr>
          <w:t>25</w:t>
        </w:r>
        <w:r>
          <w:rPr>
            <w:noProof/>
          </w:rPr>
          <w:fldChar w:fldCharType="end"/>
        </w:r>
      </w:hyperlink>
    </w:p>
    <w:p w14:paraId="40532F27" w14:textId="2ADD4062" w:rsidR="004674E6" w:rsidRDefault="004674E6">
      <w:pPr>
        <w:pStyle w:val="TOC2"/>
        <w:rPr>
          <w:rFonts w:asciiTheme="minorHAnsi" w:eastAsiaTheme="minorEastAsia" w:hAnsiTheme="minorHAnsi"/>
          <w:noProof/>
          <w:color w:val="auto"/>
          <w:kern w:val="2"/>
          <w:lang w:eastAsia="en-GB"/>
          <w14:ligatures w14:val="standardContextual"/>
        </w:rPr>
      </w:pPr>
      <w:hyperlink w:anchor="_Toc230249774" w:history="1">
        <w:r w:rsidRPr="00CE6892">
          <w:rPr>
            <w:rStyle w:val="Hyperlink"/>
            <w:noProof/>
          </w:rPr>
          <w:t>8.3 Route to procurement</w:t>
        </w:r>
        <w:r>
          <w:rPr>
            <w:noProof/>
          </w:rPr>
          <w:tab/>
        </w:r>
        <w:r>
          <w:rPr>
            <w:noProof/>
          </w:rPr>
          <w:fldChar w:fldCharType="begin"/>
        </w:r>
        <w:r>
          <w:rPr>
            <w:noProof/>
          </w:rPr>
          <w:instrText xml:space="preserve"> PAGEREF _Toc230249774 \h </w:instrText>
        </w:r>
        <w:r>
          <w:rPr>
            <w:noProof/>
          </w:rPr>
        </w:r>
        <w:r>
          <w:rPr>
            <w:noProof/>
          </w:rPr>
          <w:fldChar w:fldCharType="separate"/>
        </w:r>
        <w:r w:rsidR="00140CD3">
          <w:rPr>
            <w:noProof/>
          </w:rPr>
          <w:t>27</w:t>
        </w:r>
        <w:r>
          <w:rPr>
            <w:noProof/>
          </w:rPr>
          <w:fldChar w:fldCharType="end"/>
        </w:r>
      </w:hyperlink>
    </w:p>
    <w:p w14:paraId="5244C3E2" w14:textId="01E02B83" w:rsidR="004674E6" w:rsidRDefault="004674E6">
      <w:pPr>
        <w:pStyle w:val="TOC2"/>
        <w:rPr>
          <w:rFonts w:asciiTheme="minorHAnsi" w:eastAsiaTheme="minorEastAsia" w:hAnsiTheme="minorHAnsi"/>
          <w:noProof/>
          <w:color w:val="auto"/>
          <w:kern w:val="2"/>
          <w:lang w:eastAsia="en-GB"/>
          <w14:ligatures w14:val="standardContextual"/>
        </w:rPr>
      </w:pPr>
      <w:hyperlink w:anchor="_Toc230249775" w:history="1">
        <w:r w:rsidRPr="00CE6892">
          <w:rPr>
            <w:rStyle w:val="Hyperlink"/>
            <w:noProof/>
          </w:rPr>
          <w:t>8.4 Quotations: Competitive and non-competitive</w:t>
        </w:r>
        <w:r>
          <w:rPr>
            <w:noProof/>
          </w:rPr>
          <w:tab/>
        </w:r>
        <w:r>
          <w:rPr>
            <w:noProof/>
          </w:rPr>
          <w:fldChar w:fldCharType="begin"/>
        </w:r>
        <w:r>
          <w:rPr>
            <w:noProof/>
          </w:rPr>
          <w:instrText xml:space="preserve"> PAGEREF _Toc230249775 \h </w:instrText>
        </w:r>
        <w:r>
          <w:rPr>
            <w:noProof/>
          </w:rPr>
        </w:r>
        <w:r>
          <w:rPr>
            <w:noProof/>
          </w:rPr>
          <w:fldChar w:fldCharType="separate"/>
        </w:r>
        <w:r w:rsidR="00140CD3">
          <w:rPr>
            <w:noProof/>
          </w:rPr>
          <w:t>28</w:t>
        </w:r>
        <w:r>
          <w:rPr>
            <w:noProof/>
          </w:rPr>
          <w:fldChar w:fldCharType="end"/>
        </w:r>
      </w:hyperlink>
    </w:p>
    <w:p w14:paraId="331B9157" w14:textId="3C7FB9BE" w:rsidR="004674E6" w:rsidRDefault="004674E6">
      <w:pPr>
        <w:pStyle w:val="TOC2"/>
        <w:rPr>
          <w:rFonts w:asciiTheme="minorHAnsi" w:eastAsiaTheme="minorEastAsia" w:hAnsiTheme="minorHAnsi"/>
          <w:noProof/>
          <w:color w:val="auto"/>
          <w:kern w:val="2"/>
          <w:lang w:eastAsia="en-GB"/>
          <w14:ligatures w14:val="standardContextual"/>
        </w:rPr>
      </w:pPr>
      <w:hyperlink w:anchor="_Toc230249776" w:history="1">
        <w:r w:rsidRPr="00CE6892">
          <w:rPr>
            <w:rStyle w:val="Hyperlink"/>
            <w:noProof/>
          </w:rPr>
          <w:t>8.5 Competitive tendering</w:t>
        </w:r>
        <w:r>
          <w:rPr>
            <w:noProof/>
          </w:rPr>
          <w:tab/>
        </w:r>
        <w:r>
          <w:rPr>
            <w:noProof/>
          </w:rPr>
          <w:fldChar w:fldCharType="begin"/>
        </w:r>
        <w:r>
          <w:rPr>
            <w:noProof/>
          </w:rPr>
          <w:instrText xml:space="preserve"> PAGEREF _Toc230249776 \h </w:instrText>
        </w:r>
        <w:r>
          <w:rPr>
            <w:noProof/>
          </w:rPr>
        </w:r>
        <w:r>
          <w:rPr>
            <w:noProof/>
          </w:rPr>
          <w:fldChar w:fldCharType="separate"/>
        </w:r>
        <w:r w:rsidR="00140CD3">
          <w:rPr>
            <w:noProof/>
          </w:rPr>
          <w:t>29</w:t>
        </w:r>
        <w:r>
          <w:rPr>
            <w:noProof/>
          </w:rPr>
          <w:fldChar w:fldCharType="end"/>
        </w:r>
      </w:hyperlink>
    </w:p>
    <w:p w14:paraId="43A38116" w14:textId="0547108B" w:rsidR="004674E6" w:rsidRDefault="004674E6">
      <w:pPr>
        <w:pStyle w:val="TOC2"/>
        <w:rPr>
          <w:rFonts w:asciiTheme="minorHAnsi" w:eastAsiaTheme="minorEastAsia" w:hAnsiTheme="minorHAnsi"/>
          <w:noProof/>
          <w:color w:val="auto"/>
          <w:kern w:val="2"/>
          <w:lang w:eastAsia="en-GB"/>
          <w14:ligatures w14:val="standardContextual"/>
        </w:rPr>
      </w:pPr>
      <w:hyperlink w:anchor="_Toc230249777" w:history="1">
        <w:r w:rsidRPr="00CE6892">
          <w:rPr>
            <w:rStyle w:val="Hyperlink"/>
            <w:noProof/>
          </w:rPr>
          <w:t>8.6 Waiving of tendering procedures</w:t>
        </w:r>
        <w:r>
          <w:rPr>
            <w:noProof/>
          </w:rPr>
          <w:tab/>
        </w:r>
        <w:r>
          <w:rPr>
            <w:noProof/>
          </w:rPr>
          <w:fldChar w:fldCharType="begin"/>
        </w:r>
        <w:r>
          <w:rPr>
            <w:noProof/>
          </w:rPr>
          <w:instrText xml:space="preserve"> PAGEREF _Toc230249777 \h </w:instrText>
        </w:r>
        <w:r>
          <w:rPr>
            <w:noProof/>
          </w:rPr>
        </w:r>
        <w:r>
          <w:rPr>
            <w:noProof/>
          </w:rPr>
          <w:fldChar w:fldCharType="separate"/>
        </w:r>
        <w:r w:rsidR="00140CD3">
          <w:rPr>
            <w:noProof/>
          </w:rPr>
          <w:t>30</w:t>
        </w:r>
        <w:r>
          <w:rPr>
            <w:noProof/>
          </w:rPr>
          <w:fldChar w:fldCharType="end"/>
        </w:r>
      </w:hyperlink>
    </w:p>
    <w:p w14:paraId="729BF198" w14:textId="0205589C" w:rsidR="004674E6" w:rsidRDefault="004674E6">
      <w:pPr>
        <w:pStyle w:val="TOC2"/>
        <w:rPr>
          <w:rFonts w:asciiTheme="minorHAnsi" w:eastAsiaTheme="minorEastAsia" w:hAnsiTheme="minorHAnsi"/>
          <w:noProof/>
          <w:color w:val="auto"/>
          <w:kern w:val="2"/>
          <w:lang w:eastAsia="en-GB"/>
          <w14:ligatures w14:val="standardContextual"/>
        </w:rPr>
      </w:pPr>
      <w:hyperlink w:anchor="_Toc230249778" w:history="1">
        <w:r w:rsidRPr="00CE6892">
          <w:rPr>
            <w:rStyle w:val="Hyperlink"/>
            <w:noProof/>
          </w:rPr>
          <w:t>8.7 Disposals (cross reference to SFI 14.2)</w:t>
        </w:r>
        <w:r>
          <w:rPr>
            <w:noProof/>
          </w:rPr>
          <w:tab/>
        </w:r>
        <w:r>
          <w:rPr>
            <w:noProof/>
          </w:rPr>
          <w:fldChar w:fldCharType="begin"/>
        </w:r>
        <w:r>
          <w:rPr>
            <w:noProof/>
          </w:rPr>
          <w:instrText xml:space="preserve"> PAGEREF _Toc230249778 \h </w:instrText>
        </w:r>
        <w:r>
          <w:rPr>
            <w:noProof/>
          </w:rPr>
        </w:r>
        <w:r>
          <w:rPr>
            <w:noProof/>
          </w:rPr>
          <w:fldChar w:fldCharType="separate"/>
        </w:r>
        <w:r w:rsidR="00140CD3">
          <w:rPr>
            <w:noProof/>
          </w:rPr>
          <w:t>32</w:t>
        </w:r>
        <w:r>
          <w:rPr>
            <w:noProof/>
          </w:rPr>
          <w:fldChar w:fldCharType="end"/>
        </w:r>
      </w:hyperlink>
    </w:p>
    <w:p w14:paraId="639054CB" w14:textId="6364327C" w:rsidR="004674E6" w:rsidRDefault="004674E6">
      <w:pPr>
        <w:pStyle w:val="TOC2"/>
        <w:rPr>
          <w:rFonts w:asciiTheme="minorHAnsi" w:eastAsiaTheme="minorEastAsia" w:hAnsiTheme="minorHAnsi"/>
          <w:noProof/>
          <w:color w:val="auto"/>
          <w:kern w:val="2"/>
          <w:lang w:eastAsia="en-GB"/>
          <w14:ligatures w14:val="standardContextual"/>
        </w:rPr>
      </w:pPr>
      <w:hyperlink w:anchor="_Toc230249779" w:history="1">
        <w:r w:rsidRPr="00CE6892">
          <w:rPr>
            <w:rStyle w:val="Hyperlink"/>
            <w:noProof/>
          </w:rPr>
          <w:t>8.8 Personnel, agency, or temporary staff contracts</w:t>
        </w:r>
        <w:r>
          <w:rPr>
            <w:noProof/>
          </w:rPr>
          <w:tab/>
        </w:r>
        <w:r>
          <w:rPr>
            <w:noProof/>
          </w:rPr>
          <w:fldChar w:fldCharType="begin"/>
        </w:r>
        <w:r>
          <w:rPr>
            <w:noProof/>
          </w:rPr>
          <w:instrText xml:space="preserve"> PAGEREF _Toc230249779 \h </w:instrText>
        </w:r>
        <w:r>
          <w:rPr>
            <w:noProof/>
          </w:rPr>
        </w:r>
        <w:r>
          <w:rPr>
            <w:noProof/>
          </w:rPr>
          <w:fldChar w:fldCharType="separate"/>
        </w:r>
        <w:r w:rsidR="00140CD3">
          <w:rPr>
            <w:noProof/>
          </w:rPr>
          <w:t>33</w:t>
        </w:r>
        <w:r>
          <w:rPr>
            <w:noProof/>
          </w:rPr>
          <w:fldChar w:fldCharType="end"/>
        </w:r>
      </w:hyperlink>
    </w:p>
    <w:p w14:paraId="3311E443" w14:textId="5343C25B" w:rsidR="004674E6" w:rsidRDefault="004674E6">
      <w:pPr>
        <w:pStyle w:val="TOC2"/>
        <w:rPr>
          <w:rFonts w:asciiTheme="minorHAnsi" w:eastAsiaTheme="minorEastAsia" w:hAnsiTheme="minorHAnsi"/>
          <w:noProof/>
          <w:color w:val="auto"/>
          <w:kern w:val="2"/>
          <w:lang w:eastAsia="en-GB"/>
          <w14:ligatures w14:val="standardContextual"/>
        </w:rPr>
      </w:pPr>
      <w:hyperlink w:anchor="_Toc230249780" w:history="1">
        <w:r w:rsidRPr="00CE6892">
          <w:rPr>
            <w:rStyle w:val="Hyperlink"/>
            <w:noProof/>
          </w:rPr>
          <w:t>8.9 Authorisation of contracts and grants</w:t>
        </w:r>
        <w:r>
          <w:rPr>
            <w:noProof/>
          </w:rPr>
          <w:tab/>
        </w:r>
        <w:r>
          <w:rPr>
            <w:noProof/>
          </w:rPr>
          <w:fldChar w:fldCharType="begin"/>
        </w:r>
        <w:r>
          <w:rPr>
            <w:noProof/>
          </w:rPr>
          <w:instrText xml:space="preserve"> PAGEREF _Toc230249780 \h </w:instrText>
        </w:r>
        <w:r>
          <w:rPr>
            <w:noProof/>
          </w:rPr>
        </w:r>
        <w:r>
          <w:rPr>
            <w:noProof/>
          </w:rPr>
          <w:fldChar w:fldCharType="separate"/>
        </w:r>
        <w:r w:rsidR="00140CD3">
          <w:rPr>
            <w:noProof/>
          </w:rPr>
          <w:t>33</w:t>
        </w:r>
        <w:r>
          <w:rPr>
            <w:noProof/>
          </w:rPr>
          <w:fldChar w:fldCharType="end"/>
        </w:r>
      </w:hyperlink>
    </w:p>
    <w:p w14:paraId="506EA320" w14:textId="6B936779" w:rsidR="004674E6" w:rsidRDefault="004674E6">
      <w:pPr>
        <w:pStyle w:val="TOC2"/>
        <w:rPr>
          <w:rFonts w:asciiTheme="minorHAnsi" w:eastAsiaTheme="minorEastAsia" w:hAnsiTheme="minorHAnsi"/>
          <w:noProof/>
          <w:color w:val="auto"/>
          <w:kern w:val="2"/>
          <w:lang w:eastAsia="en-GB"/>
          <w14:ligatures w14:val="standardContextual"/>
        </w:rPr>
      </w:pPr>
      <w:hyperlink w:anchor="_Toc230249781" w:history="1">
        <w:r w:rsidRPr="00CE6892">
          <w:rPr>
            <w:rStyle w:val="Hyperlink"/>
            <w:noProof/>
          </w:rPr>
          <w:t>8.10 Signing of contracts and grant agreements</w:t>
        </w:r>
        <w:r>
          <w:rPr>
            <w:noProof/>
          </w:rPr>
          <w:tab/>
        </w:r>
        <w:r>
          <w:rPr>
            <w:noProof/>
          </w:rPr>
          <w:fldChar w:fldCharType="begin"/>
        </w:r>
        <w:r>
          <w:rPr>
            <w:noProof/>
          </w:rPr>
          <w:instrText xml:space="preserve"> PAGEREF _Toc230249781 \h </w:instrText>
        </w:r>
        <w:r>
          <w:rPr>
            <w:noProof/>
          </w:rPr>
        </w:r>
        <w:r>
          <w:rPr>
            <w:noProof/>
          </w:rPr>
          <w:fldChar w:fldCharType="separate"/>
        </w:r>
        <w:r w:rsidR="00140CD3">
          <w:rPr>
            <w:noProof/>
          </w:rPr>
          <w:t>34</w:t>
        </w:r>
        <w:r>
          <w:rPr>
            <w:noProof/>
          </w:rPr>
          <w:fldChar w:fldCharType="end"/>
        </w:r>
      </w:hyperlink>
    </w:p>
    <w:p w14:paraId="3F74D2B9" w14:textId="5AD5654B" w:rsidR="004674E6" w:rsidRDefault="004674E6">
      <w:pPr>
        <w:pStyle w:val="TOC2"/>
        <w:rPr>
          <w:rFonts w:asciiTheme="minorHAnsi" w:eastAsiaTheme="minorEastAsia" w:hAnsiTheme="minorHAnsi"/>
          <w:noProof/>
          <w:color w:val="auto"/>
          <w:kern w:val="2"/>
          <w:lang w:eastAsia="en-GB"/>
          <w14:ligatures w14:val="standardContextual"/>
        </w:rPr>
      </w:pPr>
      <w:hyperlink w:anchor="_Toc230249782" w:history="1">
        <w:r w:rsidRPr="00CE6892">
          <w:rPr>
            <w:rStyle w:val="Hyperlink"/>
            <w:noProof/>
          </w:rPr>
          <w:t>8.11 Contract variations</w:t>
        </w:r>
        <w:r>
          <w:rPr>
            <w:noProof/>
          </w:rPr>
          <w:tab/>
        </w:r>
        <w:r>
          <w:rPr>
            <w:noProof/>
          </w:rPr>
          <w:fldChar w:fldCharType="begin"/>
        </w:r>
        <w:r>
          <w:rPr>
            <w:noProof/>
          </w:rPr>
          <w:instrText xml:space="preserve"> PAGEREF _Toc230249782 \h </w:instrText>
        </w:r>
        <w:r>
          <w:rPr>
            <w:noProof/>
          </w:rPr>
        </w:r>
        <w:r>
          <w:rPr>
            <w:noProof/>
          </w:rPr>
          <w:fldChar w:fldCharType="separate"/>
        </w:r>
        <w:r w:rsidR="00140CD3">
          <w:rPr>
            <w:noProof/>
          </w:rPr>
          <w:t>34</w:t>
        </w:r>
        <w:r>
          <w:rPr>
            <w:noProof/>
          </w:rPr>
          <w:fldChar w:fldCharType="end"/>
        </w:r>
      </w:hyperlink>
    </w:p>
    <w:p w14:paraId="7FC4E3B6" w14:textId="3A7759B0" w:rsidR="004674E6" w:rsidRDefault="004674E6">
      <w:pPr>
        <w:pStyle w:val="TOC2"/>
        <w:rPr>
          <w:rFonts w:asciiTheme="minorHAnsi" w:eastAsiaTheme="minorEastAsia" w:hAnsiTheme="minorHAnsi"/>
          <w:noProof/>
          <w:color w:val="auto"/>
          <w:kern w:val="2"/>
          <w:lang w:eastAsia="en-GB"/>
          <w14:ligatures w14:val="standardContextual"/>
        </w:rPr>
      </w:pPr>
      <w:hyperlink w:anchor="_Toc230249783" w:history="1">
        <w:r w:rsidRPr="00CE6892">
          <w:rPr>
            <w:rStyle w:val="Hyperlink"/>
            <w:noProof/>
          </w:rPr>
          <w:t>8.12 Compliance requirements for all contracts and grant agreements</w:t>
        </w:r>
        <w:r>
          <w:rPr>
            <w:noProof/>
          </w:rPr>
          <w:tab/>
        </w:r>
        <w:r>
          <w:rPr>
            <w:noProof/>
          </w:rPr>
          <w:fldChar w:fldCharType="begin"/>
        </w:r>
        <w:r>
          <w:rPr>
            <w:noProof/>
          </w:rPr>
          <w:instrText xml:space="preserve"> PAGEREF _Toc230249783 \h </w:instrText>
        </w:r>
        <w:r>
          <w:rPr>
            <w:noProof/>
          </w:rPr>
        </w:r>
        <w:r>
          <w:rPr>
            <w:noProof/>
          </w:rPr>
          <w:fldChar w:fldCharType="separate"/>
        </w:r>
        <w:r w:rsidR="00140CD3">
          <w:rPr>
            <w:noProof/>
          </w:rPr>
          <w:t>34</w:t>
        </w:r>
        <w:r>
          <w:rPr>
            <w:noProof/>
          </w:rPr>
          <w:fldChar w:fldCharType="end"/>
        </w:r>
      </w:hyperlink>
    </w:p>
    <w:p w14:paraId="3F60BB86" w14:textId="6956EE21" w:rsidR="004674E6" w:rsidRDefault="004674E6">
      <w:pPr>
        <w:pStyle w:val="TOC2"/>
        <w:rPr>
          <w:rFonts w:asciiTheme="minorHAnsi" w:eastAsiaTheme="minorEastAsia" w:hAnsiTheme="minorHAnsi"/>
          <w:noProof/>
          <w:color w:val="auto"/>
          <w:kern w:val="2"/>
          <w:lang w:eastAsia="en-GB"/>
          <w14:ligatures w14:val="standardContextual"/>
        </w:rPr>
      </w:pPr>
      <w:hyperlink w:anchor="_Toc230249784" w:history="1">
        <w:r w:rsidRPr="00CE6892">
          <w:rPr>
            <w:rStyle w:val="Hyperlink"/>
            <w:noProof/>
          </w:rPr>
          <w:t>8.13 Healthcare Service Agreements (cross reference with SFI 8.2.4 and 8.5.2)</w:t>
        </w:r>
        <w:r>
          <w:rPr>
            <w:noProof/>
          </w:rPr>
          <w:tab/>
        </w:r>
        <w:r>
          <w:rPr>
            <w:noProof/>
          </w:rPr>
          <w:fldChar w:fldCharType="begin"/>
        </w:r>
        <w:r>
          <w:rPr>
            <w:noProof/>
          </w:rPr>
          <w:instrText xml:space="preserve"> PAGEREF _Toc230249784 \h </w:instrText>
        </w:r>
        <w:r>
          <w:rPr>
            <w:noProof/>
          </w:rPr>
        </w:r>
        <w:r>
          <w:rPr>
            <w:noProof/>
          </w:rPr>
          <w:fldChar w:fldCharType="separate"/>
        </w:r>
        <w:r w:rsidR="00140CD3">
          <w:rPr>
            <w:noProof/>
          </w:rPr>
          <w:t>35</w:t>
        </w:r>
        <w:r>
          <w:rPr>
            <w:noProof/>
          </w:rPr>
          <w:fldChar w:fldCharType="end"/>
        </w:r>
      </w:hyperlink>
    </w:p>
    <w:p w14:paraId="7D06C7A3" w14:textId="0F7F0D5A" w:rsidR="004674E6" w:rsidRDefault="004674E6">
      <w:pPr>
        <w:pStyle w:val="TOC1"/>
        <w:rPr>
          <w:rFonts w:asciiTheme="minorHAnsi" w:eastAsiaTheme="minorEastAsia" w:hAnsiTheme="minorHAnsi"/>
          <w:noProof/>
          <w:color w:val="auto"/>
          <w:kern w:val="2"/>
          <w:lang w:eastAsia="en-GB"/>
          <w14:ligatures w14:val="standardContextual"/>
        </w:rPr>
      </w:pPr>
      <w:hyperlink w:anchor="_Toc230249785" w:history="1">
        <w:r w:rsidRPr="00CE6892">
          <w:rPr>
            <w:rStyle w:val="Hyperlink"/>
            <w:noProof/>
          </w:rPr>
          <w:t>9. Contracting/Tendering Procedure</w:t>
        </w:r>
        <w:r>
          <w:rPr>
            <w:noProof/>
          </w:rPr>
          <w:tab/>
        </w:r>
        <w:r>
          <w:rPr>
            <w:noProof/>
          </w:rPr>
          <w:fldChar w:fldCharType="begin"/>
        </w:r>
        <w:r>
          <w:rPr>
            <w:noProof/>
          </w:rPr>
          <w:instrText xml:space="preserve"> PAGEREF _Toc230249785 \h </w:instrText>
        </w:r>
        <w:r>
          <w:rPr>
            <w:noProof/>
          </w:rPr>
        </w:r>
        <w:r>
          <w:rPr>
            <w:noProof/>
          </w:rPr>
          <w:fldChar w:fldCharType="separate"/>
        </w:r>
        <w:r w:rsidR="00140CD3">
          <w:rPr>
            <w:noProof/>
          </w:rPr>
          <w:t>36</w:t>
        </w:r>
        <w:r>
          <w:rPr>
            <w:noProof/>
          </w:rPr>
          <w:fldChar w:fldCharType="end"/>
        </w:r>
      </w:hyperlink>
    </w:p>
    <w:p w14:paraId="0825AEC1" w14:textId="668A2F31" w:rsidR="004674E6" w:rsidRDefault="004674E6">
      <w:pPr>
        <w:pStyle w:val="TOC2"/>
        <w:rPr>
          <w:rFonts w:asciiTheme="minorHAnsi" w:eastAsiaTheme="minorEastAsia" w:hAnsiTheme="minorHAnsi"/>
          <w:noProof/>
          <w:color w:val="auto"/>
          <w:kern w:val="2"/>
          <w:lang w:eastAsia="en-GB"/>
          <w14:ligatures w14:val="standardContextual"/>
        </w:rPr>
      </w:pPr>
      <w:hyperlink w:anchor="_Toc230249786" w:history="1">
        <w:r w:rsidRPr="00CE6892">
          <w:rPr>
            <w:rStyle w:val="Hyperlink"/>
            <w:noProof/>
          </w:rPr>
          <w:t>9.1 Invitation to tender</w:t>
        </w:r>
        <w:r>
          <w:rPr>
            <w:noProof/>
          </w:rPr>
          <w:tab/>
        </w:r>
        <w:r>
          <w:rPr>
            <w:noProof/>
          </w:rPr>
          <w:fldChar w:fldCharType="begin"/>
        </w:r>
        <w:r>
          <w:rPr>
            <w:noProof/>
          </w:rPr>
          <w:instrText xml:space="preserve"> PAGEREF _Toc230249786 \h </w:instrText>
        </w:r>
        <w:r>
          <w:rPr>
            <w:noProof/>
          </w:rPr>
        </w:r>
        <w:r>
          <w:rPr>
            <w:noProof/>
          </w:rPr>
          <w:fldChar w:fldCharType="separate"/>
        </w:r>
        <w:r w:rsidR="00140CD3">
          <w:rPr>
            <w:noProof/>
          </w:rPr>
          <w:t>36</w:t>
        </w:r>
        <w:r>
          <w:rPr>
            <w:noProof/>
          </w:rPr>
          <w:fldChar w:fldCharType="end"/>
        </w:r>
      </w:hyperlink>
    </w:p>
    <w:p w14:paraId="28ADE361" w14:textId="740CE2A2" w:rsidR="004674E6" w:rsidRDefault="004674E6">
      <w:pPr>
        <w:pStyle w:val="TOC2"/>
        <w:rPr>
          <w:rFonts w:asciiTheme="minorHAnsi" w:eastAsiaTheme="minorEastAsia" w:hAnsiTheme="minorHAnsi"/>
          <w:noProof/>
          <w:color w:val="auto"/>
          <w:kern w:val="2"/>
          <w:lang w:eastAsia="en-GB"/>
          <w14:ligatures w14:val="standardContextual"/>
        </w:rPr>
      </w:pPr>
      <w:hyperlink w:anchor="_Toc230249787" w:history="1">
        <w:r w:rsidRPr="00CE6892">
          <w:rPr>
            <w:rStyle w:val="Hyperlink"/>
            <w:noProof/>
          </w:rPr>
          <w:t>9.2 Receipt and safe custody of tenders</w:t>
        </w:r>
        <w:r>
          <w:rPr>
            <w:noProof/>
          </w:rPr>
          <w:tab/>
        </w:r>
        <w:r>
          <w:rPr>
            <w:noProof/>
          </w:rPr>
          <w:fldChar w:fldCharType="begin"/>
        </w:r>
        <w:r>
          <w:rPr>
            <w:noProof/>
          </w:rPr>
          <w:instrText xml:space="preserve"> PAGEREF _Toc230249787 \h </w:instrText>
        </w:r>
        <w:r>
          <w:rPr>
            <w:noProof/>
          </w:rPr>
        </w:r>
        <w:r>
          <w:rPr>
            <w:noProof/>
          </w:rPr>
          <w:fldChar w:fldCharType="separate"/>
        </w:r>
        <w:r w:rsidR="00140CD3">
          <w:rPr>
            <w:noProof/>
          </w:rPr>
          <w:t>36</w:t>
        </w:r>
        <w:r>
          <w:rPr>
            <w:noProof/>
          </w:rPr>
          <w:fldChar w:fldCharType="end"/>
        </w:r>
      </w:hyperlink>
    </w:p>
    <w:p w14:paraId="31F8BBBC" w14:textId="581677C9" w:rsidR="004674E6" w:rsidRDefault="004674E6">
      <w:pPr>
        <w:pStyle w:val="TOC2"/>
        <w:rPr>
          <w:rFonts w:asciiTheme="minorHAnsi" w:eastAsiaTheme="minorEastAsia" w:hAnsiTheme="minorHAnsi"/>
          <w:noProof/>
          <w:color w:val="auto"/>
          <w:kern w:val="2"/>
          <w:lang w:eastAsia="en-GB"/>
          <w14:ligatures w14:val="standardContextual"/>
        </w:rPr>
      </w:pPr>
      <w:hyperlink w:anchor="_Toc230249788" w:history="1">
        <w:r w:rsidRPr="00CE6892">
          <w:rPr>
            <w:rStyle w:val="Hyperlink"/>
            <w:noProof/>
          </w:rPr>
          <w:t>9.3 Opening tenders and register of tenders</w:t>
        </w:r>
        <w:r>
          <w:rPr>
            <w:noProof/>
          </w:rPr>
          <w:tab/>
        </w:r>
        <w:r>
          <w:rPr>
            <w:noProof/>
          </w:rPr>
          <w:fldChar w:fldCharType="begin"/>
        </w:r>
        <w:r>
          <w:rPr>
            <w:noProof/>
          </w:rPr>
          <w:instrText xml:space="preserve"> PAGEREF _Toc230249788 \h </w:instrText>
        </w:r>
        <w:r>
          <w:rPr>
            <w:noProof/>
          </w:rPr>
        </w:r>
        <w:r>
          <w:rPr>
            <w:noProof/>
          </w:rPr>
          <w:fldChar w:fldCharType="separate"/>
        </w:r>
        <w:r w:rsidR="00140CD3">
          <w:rPr>
            <w:noProof/>
          </w:rPr>
          <w:t>37</w:t>
        </w:r>
        <w:r>
          <w:rPr>
            <w:noProof/>
          </w:rPr>
          <w:fldChar w:fldCharType="end"/>
        </w:r>
      </w:hyperlink>
    </w:p>
    <w:p w14:paraId="2E46D751" w14:textId="68A4A9BC" w:rsidR="004674E6" w:rsidRDefault="004674E6">
      <w:pPr>
        <w:pStyle w:val="TOC2"/>
        <w:rPr>
          <w:rFonts w:asciiTheme="minorHAnsi" w:eastAsiaTheme="minorEastAsia" w:hAnsiTheme="minorHAnsi"/>
          <w:noProof/>
          <w:color w:val="auto"/>
          <w:kern w:val="2"/>
          <w:lang w:eastAsia="en-GB"/>
          <w14:ligatures w14:val="standardContextual"/>
        </w:rPr>
      </w:pPr>
      <w:hyperlink w:anchor="_Toc230249789" w:history="1">
        <w:r w:rsidRPr="00CE6892">
          <w:rPr>
            <w:rStyle w:val="Hyperlink"/>
            <w:noProof/>
          </w:rPr>
          <w:t>9.4 Admissibility</w:t>
        </w:r>
        <w:r>
          <w:rPr>
            <w:noProof/>
          </w:rPr>
          <w:tab/>
        </w:r>
        <w:r>
          <w:rPr>
            <w:noProof/>
          </w:rPr>
          <w:fldChar w:fldCharType="begin"/>
        </w:r>
        <w:r>
          <w:rPr>
            <w:noProof/>
          </w:rPr>
          <w:instrText xml:space="preserve"> PAGEREF _Toc230249789 \h </w:instrText>
        </w:r>
        <w:r>
          <w:rPr>
            <w:noProof/>
          </w:rPr>
        </w:r>
        <w:r>
          <w:rPr>
            <w:noProof/>
          </w:rPr>
          <w:fldChar w:fldCharType="separate"/>
        </w:r>
        <w:r w:rsidR="00140CD3">
          <w:rPr>
            <w:noProof/>
          </w:rPr>
          <w:t>38</w:t>
        </w:r>
        <w:r>
          <w:rPr>
            <w:noProof/>
          </w:rPr>
          <w:fldChar w:fldCharType="end"/>
        </w:r>
      </w:hyperlink>
    </w:p>
    <w:p w14:paraId="6EBF04DB" w14:textId="6A6BB567" w:rsidR="004674E6" w:rsidRDefault="004674E6">
      <w:pPr>
        <w:pStyle w:val="TOC2"/>
        <w:rPr>
          <w:rFonts w:asciiTheme="minorHAnsi" w:eastAsiaTheme="minorEastAsia" w:hAnsiTheme="minorHAnsi"/>
          <w:noProof/>
          <w:color w:val="auto"/>
          <w:kern w:val="2"/>
          <w:lang w:eastAsia="en-GB"/>
          <w14:ligatures w14:val="standardContextual"/>
        </w:rPr>
      </w:pPr>
      <w:hyperlink w:anchor="_Toc230249790" w:history="1">
        <w:r w:rsidRPr="00CE6892">
          <w:rPr>
            <w:rStyle w:val="Hyperlink"/>
            <w:noProof/>
          </w:rPr>
          <w:t>9.5 Late tenders</w:t>
        </w:r>
        <w:r>
          <w:rPr>
            <w:noProof/>
          </w:rPr>
          <w:tab/>
        </w:r>
        <w:r>
          <w:rPr>
            <w:noProof/>
          </w:rPr>
          <w:fldChar w:fldCharType="begin"/>
        </w:r>
        <w:r>
          <w:rPr>
            <w:noProof/>
          </w:rPr>
          <w:instrText xml:space="preserve"> PAGEREF _Toc230249790 \h </w:instrText>
        </w:r>
        <w:r>
          <w:rPr>
            <w:noProof/>
          </w:rPr>
        </w:r>
        <w:r>
          <w:rPr>
            <w:noProof/>
          </w:rPr>
          <w:fldChar w:fldCharType="separate"/>
        </w:r>
        <w:r w:rsidR="00140CD3">
          <w:rPr>
            <w:noProof/>
          </w:rPr>
          <w:t>38</w:t>
        </w:r>
        <w:r>
          <w:rPr>
            <w:noProof/>
          </w:rPr>
          <w:fldChar w:fldCharType="end"/>
        </w:r>
      </w:hyperlink>
    </w:p>
    <w:p w14:paraId="312A3BDF" w14:textId="7B7759A7" w:rsidR="004674E6" w:rsidRDefault="004674E6">
      <w:pPr>
        <w:pStyle w:val="TOC2"/>
        <w:rPr>
          <w:rFonts w:asciiTheme="minorHAnsi" w:eastAsiaTheme="minorEastAsia" w:hAnsiTheme="minorHAnsi"/>
          <w:noProof/>
          <w:color w:val="auto"/>
          <w:kern w:val="2"/>
          <w:lang w:eastAsia="en-GB"/>
          <w14:ligatures w14:val="standardContextual"/>
        </w:rPr>
      </w:pPr>
      <w:hyperlink w:anchor="_Toc230249791" w:history="1">
        <w:r w:rsidRPr="00CE6892">
          <w:rPr>
            <w:rStyle w:val="Hyperlink"/>
            <w:noProof/>
          </w:rPr>
          <w:t>9.6 Acceptance of formal tenders</w:t>
        </w:r>
        <w:r>
          <w:rPr>
            <w:noProof/>
          </w:rPr>
          <w:tab/>
        </w:r>
        <w:r>
          <w:rPr>
            <w:noProof/>
          </w:rPr>
          <w:fldChar w:fldCharType="begin"/>
        </w:r>
        <w:r>
          <w:rPr>
            <w:noProof/>
          </w:rPr>
          <w:instrText xml:space="preserve"> PAGEREF _Toc230249791 \h </w:instrText>
        </w:r>
        <w:r>
          <w:rPr>
            <w:noProof/>
          </w:rPr>
        </w:r>
        <w:r>
          <w:rPr>
            <w:noProof/>
          </w:rPr>
          <w:fldChar w:fldCharType="separate"/>
        </w:r>
        <w:r w:rsidR="00140CD3">
          <w:rPr>
            <w:noProof/>
          </w:rPr>
          <w:t>39</w:t>
        </w:r>
        <w:r>
          <w:rPr>
            <w:noProof/>
          </w:rPr>
          <w:fldChar w:fldCharType="end"/>
        </w:r>
      </w:hyperlink>
    </w:p>
    <w:p w14:paraId="3C47ACA8" w14:textId="5EADF68F" w:rsidR="004674E6" w:rsidRDefault="004674E6">
      <w:pPr>
        <w:pStyle w:val="TOC2"/>
        <w:rPr>
          <w:rFonts w:asciiTheme="minorHAnsi" w:eastAsiaTheme="minorEastAsia" w:hAnsiTheme="minorHAnsi"/>
          <w:noProof/>
          <w:color w:val="auto"/>
          <w:kern w:val="2"/>
          <w:lang w:eastAsia="en-GB"/>
          <w14:ligatures w14:val="standardContextual"/>
        </w:rPr>
      </w:pPr>
      <w:hyperlink w:anchor="_Toc230249792" w:history="1">
        <w:r w:rsidRPr="00CE6892">
          <w:rPr>
            <w:rStyle w:val="Hyperlink"/>
            <w:noProof/>
          </w:rPr>
          <w:t>9.7 Tender reports to the ICB Board</w:t>
        </w:r>
        <w:r>
          <w:rPr>
            <w:noProof/>
          </w:rPr>
          <w:tab/>
        </w:r>
        <w:r>
          <w:rPr>
            <w:noProof/>
          </w:rPr>
          <w:fldChar w:fldCharType="begin"/>
        </w:r>
        <w:r>
          <w:rPr>
            <w:noProof/>
          </w:rPr>
          <w:instrText xml:space="preserve"> PAGEREF _Toc230249792 \h </w:instrText>
        </w:r>
        <w:r>
          <w:rPr>
            <w:noProof/>
          </w:rPr>
        </w:r>
        <w:r>
          <w:rPr>
            <w:noProof/>
          </w:rPr>
          <w:fldChar w:fldCharType="separate"/>
        </w:r>
        <w:r w:rsidR="00140CD3">
          <w:rPr>
            <w:noProof/>
          </w:rPr>
          <w:t>39</w:t>
        </w:r>
        <w:r>
          <w:rPr>
            <w:noProof/>
          </w:rPr>
          <w:fldChar w:fldCharType="end"/>
        </w:r>
      </w:hyperlink>
    </w:p>
    <w:p w14:paraId="24B79049" w14:textId="04B9C2ED" w:rsidR="004674E6" w:rsidRDefault="004674E6">
      <w:pPr>
        <w:pStyle w:val="TOC1"/>
        <w:rPr>
          <w:rFonts w:asciiTheme="minorHAnsi" w:eastAsiaTheme="minorEastAsia" w:hAnsiTheme="minorHAnsi"/>
          <w:noProof/>
          <w:color w:val="auto"/>
          <w:kern w:val="2"/>
          <w:lang w:eastAsia="en-GB"/>
          <w14:ligatures w14:val="standardContextual"/>
        </w:rPr>
      </w:pPr>
      <w:hyperlink w:anchor="_Toc230249793" w:history="1">
        <w:r w:rsidRPr="00CE6892">
          <w:rPr>
            <w:rStyle w:val="Hyperlink"/>
            <w:noProof/>
          </w:rPr>
          <w:t>10. Staff costs and staff related non pay expenditure</w:t>
        </w:r>
        <w:r>
          <w:rPr>
            <w:noProof/>
          </w:rPr>
          <w:tab/>
        </w:r>
        <w:r>
          <w:rPr>
            <w:noProof/>
          </w:rPr>
          <w:fldChar w:fldCharType="begin"/>
        </w:r>
        <w:r>
          <w:rPr>
            <w:noProof/>
          </w:rPr>
          <w:instrText xml:space="preserve"> PAGEREF _Toc230249793 \h </w:instrText>
        </w:r>
        <w:r>
          <w:rPr>
            <w:noProof/>
          </w:rPr>
        </w:r>
        <w:r>
          <w:rPr>
            <w:noProof/>
          </w:rPr>
          <w:fldChar w:fldCharType="separate"/>
        </w:r>
        <w:r w:rsidR="00140CD3">
          <w:rPr>
            <w:noProof/>
          </w:rPr>
          <w:t>40</w:t>
        </w:r>
        <w:r>
          <w:rPr>
            <w:noProof/>
          </w:rPr>
          <w:fldChar w:fldCharType="end"/>
        </w:r>
      </w:hyperlink>
    </w:p>
    <w:p w14:paraId="3126FF89" w14:textId="0AF79A1C" w:rsidR="004674E6" w:rsidRDefault="004674E6">
      <w:pPr>
        <w:pStyle w:val="TOC2"/>
        <w:rPr>
          <w:rFonts w:asciiTheme="minorHAnsi" w:eastAsiaTheme="minorEastAsia" w:hAnsiTheme="minorHAnsi"/>
          <w:noProof/>
          <w:color w:val="auto"/>
          <w:kern w:val="2"/>
          <w:lang w:eastAsia="en-GB"/>
          <w14:ligatures w14:val="standardContextual"/>
        </w:rPr>
      </w:pPr>
      <w:hyperlink w:anchor="_Toc230249794" w:history="1">
        <w:r w:rsidRPr="00CE6892">
          <w:rPr>
            <w:rStyle w:val="Hyperlink"/>
            <w:noProof/>
          </w:rPr>
          <w:t>10.1 Remuneration and terms of service</w:t>
        </w:r>
        <w:r>
          <w:rPr>
            <w:noProof/>
          </w:rPr>
          <w:tab/>
        </w:r>
        <w:r>
          <w:rPr>
            <w:noProof/>
          </w:rPr>
          <w:fldChar w:fldCharType="begin"/>
        </w:r>
        <w:r>
          <w:rPr>
            <w:noProof/>
          </w:rPr>
          <w:instrText xml:space="preserve"> PAGEREF _Toc230249794 \h </w:instrText>
        </w:r>
        <w:r>
          <w:rPr>
            <w:noProof/>
          </w:rPr>
        </w:r>
        <w:r>
          <w:rPr>
            <w:noProof/>
          </w:rPr>
          <w:fldChar w:fldCharType="separate"/>
        </w:r>
        <w:r w:rsidR="00140CD3">
          <w:rPr>
            <w:noProof/>
          </w:rPr>
          <w:t>40</w:t>
        </w:r>
        <w:r>
          <w:rPr>
            <w:noProof/>
          </w:rPr>
          <w:fldChar w:fldCharType="end"/>
        </w:r>
      </w:hyperlink>
    </w:p>
    <w:p w14:paraId="4025FB65" w14:textId="612377C7" w:rsidR="004674E6" w:rsidRDefault="004674E6">
      <w:pPr>
        <w:pStyle w:val="TOC2"/>
        <w:rPr>
          <w:rFonts w:asciiTheme="minorHAnsi" w:eastAsiaTheme="minorEastAsia" w:hAnsiTheme="minorHAnsi"/>
          <w:noProof/>
          <w:color w:val="auto"/>
          <w:kern w:val="2"/>
          <w:lang w:eastAsia="en-GB"/>
          <w14:ligatures w14:val="standardContextual"/>
        </w:rPr>
      </w:pPr>
      <w:hyperlink w:anchor="_Toc230249795" w:history="1">
        <w:r w:rsidRPr="00CE6892">
          <w:rPr>
            <w:rStyle w:val="Hyperlink"/>
            <w:noProof/>
          </w:rPr>
          <w:t>10.2 Funded establishment</w:t>
        </w:r>
        <w:r>
          <w:rPr>
            <w:noProof/>
          </w:rPr>
          <w:tab/>
        </w:r>
        <w:r>
          <w:rPr>
            <w:noProof/>
          </w:rPr>
          <w:fldChar w:fldCharType="begin"/>
        </w:r>
        <w:r>
          <w:rPr>
            <w:noProof/>
          </w:rPr>
          <w:instrText xml:space="preserve"> PAGEREF _Toc230249795 \h </w:instrText>
        </w:r>
        <w:r>
          <w:rPr>
            <w:noProof/>
          </w:rPr>
        </w:r>
        <w:r>
          <w:rPr>
            <w:noProof/>
          </w:rPr>
          <w:fldChar w:fldCharType="separate"/>
        </w:r>
        <w:r w:rsidR="00140CD3">
          <w:rPr>
            <w:noProof/>
          </w:rPr>
          <w:t>40</w:t>
        </w:r>
        <w:r>
          <w:rPr>
            <w:noProof/>
          </w:rPr>
          <w:fldChar w:fldCharType="end"/>
        </w:r>
      </w:hyperlink>
    </w:p>
    <w:p w14:paraId="0C2A1641" w14:textId="0A22C592" w:rsidR="004674E6" w:rsidRDefault="004674E6">
      <w:pPr>
        <w:pStyle w:val="TOC2"/>
        <w:rPr>
          <w:rFonts w:asciiTheme="minorHAnsi" w:eastAsiaTheme="minorEastAsia" w:hAnsiTheme="minorHAnsi"/>
          <w:noProof/>
          <w:color w:val="auto"/>
          <w:kern w:val="2"/>
          <w:lang w:eastAsia="en-GB"/>
          <w14:ligatures w14:val="standardContextual"/>
        </w:rPr>
      </w:pPr>
      <w:hyperlink w:anchor="_Toc230249796" w:history="1">
        <w:r w:rsidRPr="00CE6892">
          <w:rPr>
            <w:rStyle w:val="Hyperlink"/>
            <w:noProof/>
          </w:rPr>
          <w:t>10.3 Staff appointments</w:t>
        </w:r>
        <w:r>
          <w:rPr>
            <w:noProof/>
          </w:rPr>
          <w:tab/>
        </w:r>
        <w:r>
          <w:rPr>
            <w:noProof/>
          </w:rPr>
          <w:fldChar w:fldCharType="begin"/>
        </w:r>
        <w:r>
          <w:rPr>
            <w:noProof/>
          </w:rPr>
          <w:instrText xml:space="preserve"> PAGEREF _Toc230249796 \h </w:instrText>
        </w:r>
        <w:r>
          <w:rPr>
            <w:noProof/>
          </w:rPr>
        </w:r>
        <w:r>
          <w:rPr>
            <w:noProof/>
          </w:rPr>
          <w:fldChar w:fldCharType="separate"/>
        </w:r>
        <w:r w:rsidR="00140CD3">
          <w:rPr>
            <w:noProof/>
          </w:rPr>
          <w:t>40</w:t>
        </w:r>
        <w:r>
          <w:rPr>
            <w:noProof/>
          </w:rPr>
          <w:fldChar w:fldCharType="end"/>
        </w:r>
      </w:hyperlink>
    </w:p>
    <w:p w14:paraId="45A476CE" w14:textId="6600EEBC" w:rsidR="004674E6" w:rsidRDefault="004674E6">
      <w:pPr>
        <w:pStyle w:val="TOC2"/>
        <w:rPr>
          <w:rFonts w:asciiTheme="minorHAnsi" w:eastAsiaTheme="minorEastAsia" w:hAnsiTheme="minorHAnsi"/>
          <w:noProof/>
          <w:color w:val="auto"/>
          <w:kern w:val="2"/>
          <w:lang w:eastAsia="en-GB"/>
          <w14:ligatures w14:val="standardContextual"/>
        </w:rPr>
      </w:pPr>
      <w:hyperlink w:anchor="_Toc230249797" w:history="1">
        <w:r w:rsidRPr="00CE6892">
          <w:rPr>
            <w:rStyle w:val="Hyperlink"/>
            <w:noProof/>
          </w:rPr>
          <w:t>10.4 Processing payroll</w:t>
        </w:r>
        <w:r>
          <w:rPr>
            <w:noProof/>
          </w:rPr>
          <w:tab/>
        </w:r>
        <w:r>
          <w:rPr>
            <w:noProof/>
          </w:rPr>
          <w:fldChar w:fldCharType="begin"/>
        </w:r>
        <w:r>
          <w:rPr>
            <w:noProof/>
          </w:rPr>
          <w:instrText xml:space="preserve"> PAGEREF _Toc230249797 \h </w:instrText>
        </w:r>
        <w:r>
          <w:rPr>
            <w:noProof/>
          </w:rPr>
        </w:r>
        <w:r>
          <w:rPr>
            <w:noProof/>
          </w:rPr>
          <w:fldChar w:fldCharType="separate"/>
        </w:r>
        <w:r w:rsidR="00140CD3">
          <w:rPr>
            <w:noProof/>
          </w:rPr>
          <w:t>40</w:t>
        </w:r>
        <w:r>
          <w:rPr>
            <w:noProof/>
          </w:rPr>
          <w:fldChar w:fldCharType="end"/>
        </w:r>
      </w:hyperlink>
    </w:p>
    <w:p w14:paraId="516EA9B5" w14:textId="2F78123E" w:rsidR="004674E6" w:rsidRDefault="004674E6">
      <w:pPr>
        <w:pStyle w:val="TOC2"/>
        <w:rPr>
          <w:rFonts w:asciiTheme="minorHAnsi" w:eastAsiaTheme="minorEastAsia" w:hAnsiTheme="minorHAnsi"/>
          <w:noProof/>
          <w:color w:val="auto"/>
          <w:kern w:val="2"/>
          <w:lang w:eastAsia="en-GB"/>
          <w14:ligatures w14:val="standardContextual"/>
        </w:rPr>
      </w:pPr>
      <w:hyperlink w:anchor="_Toc230249798" w:history="1">
        <w:r w:rsidRPr="00CE6892">
          <w:rPr>
            <w:rStyle w:val="Hyperlink"/>
            <w:noProof/>
          </w:rPr>
          <w:t>10.5 Contracts of employment</w:t>
        </w:r>
        <w:r>
          <w:rPr>
            <w:noProof/>
          </w:rPr>
          <w:tab/>
        </w:r>
        <w:r>
          <w:rPr>
            <w:noProof/>
          </w:rPr>
          <w:fldChar w:fldCharType="begin"/>
        </w:r>
        <w:r>
          <w:rPr>
            <w:noProof/>
          </w:rPr>
          <w:instrText xml:space="preserve"> PAGEREF _Toc230249798 \h </w:instrText>
        </w:r>
        <w:r>
          <w:rPr>
            <w:noProof/>
          </w:rPr>
        </w:r>
        <w:r>
          <w:rPr>
            <w:noProof/>
          </w:rPr>
          <w:fldChar w:fldCharType="separate"/>
        </w:r>
        <w:r w:rsidR="00140CD3">
          <w:rPr>
            <w:noProof/>
          </w:rPr>
          <w:t>41</w:t>
        </w:r>
        <w:r>
          <w:rPr>
            <w:noProof/>
          </w:rPr>
          <w:fldChar w:fldCharType="end"/>
        </w:r>
      </w:hyperlink>
    </w:p>
    <w:p w14:paraId="1D715BAC" w14:textId="3EC92BBB" w:rsidR="004674E6" w:rsidRDefault="004674E6">
      <w:pPr>
        <w:pStyle w:val="TOC1"/>
        <w:rPr>
          <w:rFonts w:asciiTheme="minorHAnsi" w:eastAsiaTheme="minorEastAsia" w:hAnsiTheme="minorHAnsi"/>
          <w:noProof/>
          <w:color w:val="auto"/>
          <w:kern w:val="2"/>
          <w:lang w:eastAsia="en-GB"/>
          <w14:ligatures w14:val="standardContextual"/>
        </w:rPr>
      </w:pPr>
      <w:hyperlink w:anchor="_Toc230249799" w:history="1">
        <w:r w:rsidRPr="00CE6892">
          <w:rPr>
            <w:rStyle w:val="Hyperlink"/>
            <w:noProof/>
          </w:rPr>
          <w:t>11. Non pay expenditure</w:t>
        </w:r>
        <w:r>
          <w:rPr>
            <w:noProof/>
          </w:rPr>
          <w:tab/>
        </w:r>
        <w:r>
          <w:rPr>
            <w:noProof/>
          </w:rPr>
          <w:fldChar w:fldCharType="begin"/>
        </w:r>
        <w:r>
          <w:rPr>
            <w:noProof/>
          </w:rPr>
          <w:instrText xml:space="preserve"> PAGEREF _Toc230249799 \h </w:instrText>
        </w:r>
        <w:r>
          <w:rPr>
            <w:noProof/>
          </w:rPr>
        </w:r>
        <w:r>
          <w:rPr>
            <w:noProof/>
          </w:rPr>
          <w:fldChar w:fldCharType="separate"/>
        </w:r>
        <w:r w:rsidR="00140CD3">
          <w:rPr>
            <w:noProof/>
          </w:rPr>
          <w:t>42</w:t>
        </w:r>
        <w:r>
          <w:rPr>
            <w:noProof/>
          </w:rPr>
          <w:fldChar w:fldCharType="end"/>
        </w:r>
      </w:hyperlink>
    </w:p>
    <w:p w14:paraId="20D6A3F0" w14:textId="2C1CB742" w:rsidR="004674E6" w:rsidRDefault="004674E6">
      <w:pPr>
        <w:pStyle w:val="TOC2"/>
        <w:rPr>
          <w:rFonts w:asciiTheme="minorHAnsi" w:eastAsiaTheme="minorEastAsia" w:hAnsiTheme="minorHAnsi"/>
          <w:noProof/>
          <w:color w:val="auto"/>
          <w:kern w:val="2"/>
          <w:lang w:eastAsia="en-GB"/>
          <w14:ligatures w14:val="standardContextual"/>
        </w:rPr>
      </w:pPr>
      <w:hyperlink w:anchor="_Toc230249800" w:history="1">
        <w:r w:rsidRPr="00CE6892">
          <w:rPr>
            <w:rStyle w:val="Hyperlink"/>
            <w:noProof/>
          </w:rPr>
          <w:t>11.1 Delegation of Authority</w:t>
        </w:r>
        <w:r>
          <w:rPr>
            <w:noProof/>
          </w:rPr>
          <w:tab/>
        </w:r>
        <w:r>
          <w:rPr>
            <w:noProof/>
          </w:rPr>
          <w:fldChar w:fldCharType="begin"/>
        </w:r>
        <w:r>
          <w:rPr>
            <w:noProof/>
          </w:rPr>
          <w:instrText xml:space="preserve"> PAGEREF _Toc230249800 \h </w:instrText>
        </w:r>
        <w:r>
          <w:rPr>
            <w:noProof/>
          </w:rPr>
        </w:r>
        <w:r>
          <w:rPr>
            <w:noProof/>
          </w:rPr>
          <w:fldChar w:fldCharType="separate"/>
        </w:r>
        <w:r w:rsidR="00140CD3">
          <w:rPr>
            <w:noProof/>
          </w:rPr>
          <w:t>42</w:t>
        </w:r>
        <w:r>
          <w:rPr>
            <w:noProof/>
          </w:rPr>
          <w:fldChar w:fldCharType="end"/>
        </w:r>
      </w:hyperlink>
    </w:p>
    <w:p w14:paraId="655BE87B" w14:textId="4605081B" w:rsidR="004674E6" w:rsidRDefault="004674E6">
      <w:pPr>
        <w:pStyle w:val="TOC2"/>
        <w:rPr>
          <w:rFonts w:asciiTheme="minorHAnsi" w:eastAsiaTheme="minorEastAsia" w:hAnsiTheme="minorHAnsi"/>
          <w:noProof/>
          <w:color w:val="auto"/>
          <w:kern w:val="2"/>
          <w:lang w:eastAsia="en-GB"/>
          <w14:ligatures w14:val="standardContextual"/>
        </w:rPr>
      </w:pPr>
      <w:hyperlink w:anchor="_Toc230249801" w:history="1">
        <w:r w:rsidRPr="00CE6892">
          <w:rPr>
            <w:rStyle w:val="Hyperlink"/>
            <w:noProof/>
          </w:rPr>
          <w:t xml:space="preserve">11.2 Choice, Requestioning, Ordering, Receipt and Payment for Goods </w:t>
        </w:r>
        <w:r w:rsidRPr="00CE6892">
          <w:rPr>
            <w:rStyle w:val="Hyperlink"/>
            <w:i/>
            <w:iCs/>
            <w:noProof/>
          </w:rPr>
          <w:t>(see overlay with SFI 8 and 9)</w:t>
        </w:r>
        <w:r>
          <w:rPr>
            <w:noProof/>
          </w:rPr>
          <w:tab/>
        </w:r>
        <w:r>
          <w:rPr>
            <w:noProof/>
          </w:rPr>
          <w:fldChar w:fldCharType="begin"/>
        </w:r>
        <w:r>
          <w:rPr>
            <w:noProof/>
          </w:rPr>
          <w:instrText xml:space="preserve"> PAGEREF _Toc230249801 \h </w:instrText>
        </w:r>
        <w:r>
          <w:rPr>
            <w:noProof/>
          </w:rPr>
        </w:r>
        <w:r>
          <w:rPr>
            <w:noProof/>
          </w:rPr>
          <w:fldChar w:fldCharType="separate"/>
        </w:r>
        <w:r w:rsidR="00140CD3">
          <w:rPr>
            <w:noProof/>
          </w:rPr>
          <w:t>42</w:t>
        </w:r>
        <w:r>
          <w:rPr>
            <w:noProof/>
          </w:rPr>
          <w:fldChar w:fldCharType="end"/>
        </w:r>
      </w:hyperlink>
    </w:p>
    <w:p w14:paraId="11F29CAA" w14:textId="0FBAE3B3" w:rsidR="004674E6" w:rsidRDefault="004674E6">
      <w:pPr>
        <w:pStyle w:val="TOC2"/>
        <w:rPr>
          <w:rFonts w:asciiTheme="minorHAnsi" w:eastAsiaTheme="minorEastAsia" w:hAnsiTheme="minorHAnsi"/>
          <w:noProof/>
          <w:color w:val="auto"/>
          <w:kern w:val="2"/>
          <w:lang w:eastAsia="en-GB"/>
          <w14:ligatures w14:val="standardContextual"/>
        </w:rPr>
      </w:pPr>
      <w:hyperlink w:anchor="_Toc230249802" w:history="1">
        <w:r w:rsidRPr="00CE6892">
          <w:rPr>
            <w:rStyle w:val="Hyperlink"/>
            <w:noProof/>
          </w:rPr>
          <w:t>11.3 Joint Finance Arrangements with Local Authorities and Voluntary Bodies</w:t>
        </w:r>
        <w:r>
          <w:rPr>
            <w:noProof/>
          </w:rPr>
          <w:tab/>
        </w:r>
        <w:r>
          <w:rPr>
            <w:noProof/>
          </w:rPr>
          <w:fldChar w:fldCharType="begin"/>
        </w:r>
        <w:r>
          <w:rPr>
            <w:noProof/>
          </w:rPr>
          <w:instrText xml:space="preserve"> PAGEREF _Toc230249802 \h </w:instrText>
        </w:r>
        <w:r>
          <w:rPr>
            <w:noProof/>
          </w:rPr>
        </w:r>
        <w:r>
          <w:rPr>
            <w:noProof/>
          </w:rPr>
          <w:fldChar w:fldCharType="separate"/>
        </w:r>
        <w:r w:rsidR="00140CD3">
          <w:rPr>
            <w:noProof/>
          </w:rPr>
          <w:t>45</w:t>
        </w:r>
        <w:r>
          <w:rPr>
            <w:noProof/>
          </w:rPr>
          <w:fldChar w:fldCharType="end"/>
        </w:r>
      </w:hyperlink>
    </w:p>
    <w:p w14:paraId="2370E167" w14:textId="54451B90" w:rsidR="004674E6" w:rsidRDefault="004674E6">
      <w:pPr>
        <w:pStyle w:val="TOC1"/>
        <w:rPr>
          <w:rFonts w:asciiTheme="minorHAnsi" w:eastAsiaTheme="minorEastAsia" w:hAnsiTheme="minorHAnsi"/>
          <w:noProof/>
          <w:color w:val="auto"/>
          <w:kern w:val="2"/>
          <w:lang w:eastAsia="en-GB"/>
          <w14:ligatures w14:val="standardContextual"/>
        </w:rPr>
      </w:pPr>
      <w:hyperlink w:anchor="_Toc230249803" w:history="1">
        <w:r w:rsidRPr="00CE6892">
          <w:rPr>
            <w:rStyle w:val="Hyperlink"/>
            <w:noProof/>
          </w:rPr>
          <w:t>12. Research and development</w:t>
        </w:r>
        <w:r>
          <w:rPr>
            <w:noProof/>
          </w:rPr>
          <w:tab/>
        </w:r>
        <w:r>
          <w:rPr>
            <w:noProof/>
          </w:rPr>
          <w:fldChar w:fldCharType="begin"/>
        </w:r>
        <w:r>
          <w:rPr>
            <w:noProof/>
          </w:rPr>
          <w:instrText xml:space="preserve"> PAGEREF _Toc230249803 \h </w:instrText>
        </w:r>
        <w:r>
          <w:rPr>
            <w:noProof/>
          </w:rPr>
        </w:r>
        <w:r>
          <w:rPr>
            <w:noProof/>
          </w:rPr>
          <w:fldChar w:fldCharType="separate"/>
        </w:r>
        <w:r w:rsidR="00140CD3">
          <w:rPr>
            <w:noProof/>
          </w:rPr>
          <w:t>46</w:t>
        </w:r>
        <w:r>
          <w:rPr>
            <w:noProof/>
          </w:rPr>
          <w:fldChar w:fldCharType="end"/>
        </w:r>
      </w:hyperlink>
    </w:p>
    <w:p w14:paraId="3C83F65F" w14:textId="78C6273D" w:rsidR="004674E6" w:rsidRDefault="004674E6">
      <w:pPr>
        <w:pStyle w:val="TOC2"/>
        <w:rPr>
          <w:rFonts w:asciiTheme="minorHAnsi" w:eastAsiaTheme="minorEastAsia" w:hAnsiTheme="minorHAnsi"/>
          <w:noProof/>
          <w:color w:val="auto"/>
          <w:kern w:val="2"/>
          <w:lang w:eastAsia="en-GB"/>
          <w14:ligatures w14:val="standardContextual"/>
        </w:rPr>
      </w:pPr>
      <w:hyperlink w:anchor="_Toc230249804" w:history="1">
        <w:r w:rsidRPr="00CE6892">
          <w:rPr>
            <w:rStyle w:val="Hyperlink"/>
            <w:noProof/>
          </w:rPr>
          <w:t>12.1 Objective</w:t>
        </w:r>
        <w:r>
          <w:rPr>
            <w:noProof/>
          </w:rPr>
          <w:tab/>
        </w:r>
        <w:r>
          <w:rPr>
            <w:noProof/>
          </w:rPr>
          <w:fldChar w:fldCharType="begin"/>
        </w:r>
        <w:r>
          <w:rPr>
            <w:noProof/>
          </w:rPr>
          <w:instrText xml:space="preserve"> PAGEREF _Toc230249804 \h </w:instrText>
        </w:r>
        <w:r>
          <w:rPr>
            <w:noProof/>
          </w:rPr>
        </w:r>
        <w:r>
          <w:rPr>
            <w:noProof/>
          </w:rPr>
          <w:fldChar w:fldCharType="separate"/>
        </w:r>
        <w:r w:rsidR="00140CD3">
          <w:rPr>
            <w:noProof/>
          </w:rPr>
          <w:t>46</w:t>
        </w:r>
        <w:r>
          <w:rPr>
            <w:noProof/>
          </w:rPr>
          <w:fldChar w:fldCharType="end"/>
        </w:r>
      </w:hyperlink>
    </w:p>
    <w:p w14:paraId="2D8F7F11" w14:textId="32F24BDC" w:rsidR="004674E6" w:rsidRDefault="004674E6">
      <w:pPr>
        <w:pStyle w:val="TOC2"/>
        <w:rPr>
          <w:rFonts w:asciiTheme="minorHAnsi" w:eastAsiaTheme="minorEastAsia" w:hAnsiTheme="minorHAnsi"/>
          <w:noProof/>
          <w:color w:val="auto"/>
          <w:kern w:val="2"/>
          <w:lang w:eastAsia="en-GB"/>
          <w14:ligatures w14:val="standardContextual"/>
        </w:rPr>
      </w:pPr>
      <w:hyperlink w:anchor="_Toc230249805" w:history="1">
        <w:r w:rsidRPr="00CE6892">
          <w:rPr>
            <w:rStyle w:val="Hyperlink"/>
            <w:noProof/>
          </w:rPr>
          <w:t>12.2 General</w:t>
        </w:r>
        <w:r>
          <w:rPr>
            <w:noProof/>
          </w:rPr>
          <w:tab/>
        </w:r>
        <w:r>
          <w:rPr>
            <w:noProof/>
          </w:rPr>
          <w:fldChar w:fldCharType="begin"/>
        </w:r>
        <w:r>
          <w:rPr>
            <w:noProof/>
          </w:rPr>
          <w:instrText xml:space="preserve"> PAGEREF _Toc230249805 \h </w:instrText>
        </w:r>
        <w:r>
          <w:rPr>
            <w:noProof/>
          </w:rPr>
        </w:r>
        <w:r>
          <w:rPr>
            <w:noProof/>
          </w:rPr>
          <w:fldChar w:fldCharType="separate"/>
        </w:r>
        <w:r w:rsidR="00140CD3">
          <w:rPr>
            <w:noProof/>
          </w:rPr>
          <w:t>46</w:t>
        </w:r>
        <w:r>
          <w:rPr>
            <w:noProof/>
          </w:rPr>
          <w:fldChar w:fldCharType="end"/>
        </w:r>
      </w:hyperlink>
    </w:p>
    <w:p w14:paraId="750A7FDF" w14:textId="1BEE2F77" w:rsidR="004674E6" w:rsidRDefault="004674E6">
      <w:pPr>
        <w:pStyle w:val="TOC2"/>
        <w:rPr>
          <w:rFonts w:asciiTheme="minorHAnsi" w:eastAsiaTheme="minorEastAsia" w:hAnsiTheme="minorHAnsi"/>
          <w:noProof/>
          <w:color w:val="auto"/>
          <w:kern w:val="2"/>
          <w:lang w:eastAsia="en-GB"/>
          <w14:ligatures w14:val="standardContextual"/>
        </w:rPr>
      </w:pPr>
      <w:hyperlink w:anchor="_Toc230249806" w:history="1">
        <w:r w:rsidRPr="00CE6892">
          <w:rPr>
            <w:rStyle w:val="Hyperlink"/>
            <w:noProof/>
          </w:rPr>
          <w:t>12.3 Research Applications</w:t>
        </w:r>
        <w:r>
          <w:rPr>
            <w:noProof/>
          </w:rPr>
          <w:tab/>
        </w:r>
        <w:r>
          <w:rPr>
            <w:noProof/>
          </w:rPr>
          <w:fldChar w:fldCharType="begin"/>
        </w:r>
        <w:r>
          <w:rPr>
            <w:noProof/>
          </w:rPr>
          <w:instrText xml:space="preserve"> PAGEREF _Toc230249806 \h </w:instrText>
        </w:r>
        <w:r>
          <w:rPr>
            <w:noProof/>
          </w:rPr>
        </w:r>
        <w:r>
          <w:rPr>
            <w:noProof/>
          </w:rPr>
          <w:fldChar w:fldCharType="separate"/>
        </w:r>
        <w:r w:rsidR="00140CD3">
          <w:rPr>
            <w:noProof/>
          </w:rPr>
          <w:t>46</w:t>
        </w:r>
        <w:r>
          <w:rPr>
            <w:noProof/>
          </w:rPr>
          <w:fldChar w:fldCharType="end"/>
        </w:r>
      </w:hyperlink>
    </w:p>
    <w:p w14:paraId="2ED87FE7" w14:textId="1E86A88E" w:rsidR="004674E6" w:rsidRDefault="004674E6">
      <w:pPr>
        <w:pStyle w:val="TOC2"/>
        <w:rPr>
          <w:rFonts w:asciiTheme="minorHAnsi" w:eastAsiaTheme="minorEastAsia" w:hAnsiTheme="minorHAnsi"/>
          <w:noProof/>
          <w:color w:val="auto"/>
          <w:kern w:val="2"/>
          <w:lang w:eastAsia="en-GB"/>
          <w14:ligatures w14:val="standardContextual"/>
        </w:rPr>
      </w:pPr>
      <w:hyperlink w:anchor="_Toc230249807" w:history="1">
        <w:r w:rsidRPr="00CE6892">
          <w:rPr>
            <w:rStyle w:val="Hyperlink"/>
            <w:noProof/>
          </w:rPr>
          <w:t>12.4 Intellectual Property</w:t>
        </w:r>
        <w:r>
          <w:rPr>
            <w:noProof/>
          </w:rPr>
          <w:tab/>
        </w:r>
        <w:r>
          <w:rPr>
            <w:noProof/>
          </w:rPr>
          <w:fldChar w:fldCharType="begin"/>
        </w:r>
        <w:r>
          <w:rPr>
            <w:noProof/>
          </w:rPr>
          <w:instrText xml:space="preserve"> PAGEREF _Toc230249807 \h </w:instrText>
        </w:r>
        <w:r>
          <w:rPr>
            <w:noProof/>
          </w:rPr>
        </w:r>
        <w:r>
          <w:rPr>
            <w:noProof/>
          </w:rPr>
          <w:fldChar w:fldCharType="separate"/>
        </w:r>
        <w:r w:rsidR="00140CD3">
          <w:rPr>
            <w:noProof/>
          </w:rPr>
          <w:t>47</w:t>
        </w:r>
        <w:r>
          <w:rPr>
            <w:noProof/>
          </w:rPr>
          <w:fldChar w:fldCharType="end"/>
        </w:r>
      </w:hyperlink>
    </w:p>
    <w:p w14:paraId="42AF9E5B" w14:textId="520DB508" w:rsidR="004674E6" w:rsidRDefault="004674E6">
      <w:pPr>
        <w:pStyle w:val="TOC1"/>
        <w:rPr>
          <w:rFonts w:asciiTheme="minorHAnsi" w:eastAsiaTheme="minorEastAsia" w:hAnsiTheme="minorHAnsi"/>
          <w:noProof/>
          <w:color w:val="auto"/>
          <w:kern w:val="2"/>
          <w:lang w:eastAsia="en-GB"/>
          <w14:ligatures w14:val="standardContextual"/>
        </w:rPr>
      </w:pPr>
      <w:hyperlink w:anchor="_Toc230249808" w:history="1">
        <w:r w:rsidRPr="00CE6892">
          <w:rPr>
            <w:rStyle w:val="Hyperlink"/>
            <w:noProof/>
          </w:rPr>
          <w:t>13. Capital Investments, security of assets and grants</w:t>
        </w:r>
        <w:r>
          <w:rPr>
            <w:noProof/>
          </w:rPr>
          <w:tab/>
        </w:r>
        <w:r>
          <w:rPr>
            <w:noProof/>
          </w:rPr>
          <w:fldChar w:fldCharType="begin"/>
        </w:r>
        <w:r>
          <w:rPr>
            <w:noProof/>
          </w:rPr>
          <w:instrText xml:space="preserve"> PAGEREF _Toc230249808 \h </w:instrText>
        </w:r>
        <w:r>
          <w:rPr>
            <w:noProof/>
          </w:rPr>
        </w:r>
        <w:r>
          <w:rPr>
            <w:noProof/>
          </w:rPr>
          <w:fldChar w:fldCharType="separate"/>
        </w:r>
        <w:r w:rsidR="00140CD3">
          <w:rPr>
            <w:noProof/>
          </w:rPr>
          <w:t>48</w:t>
        </w:r>
        <w:r>
          <w:rPr>
            <w:noProof/>
          </w:rPr>
          <w:fldChar w:fldCharType="end"/>
        </w:r>
      </w:hyperlink>
    </w:p>
    <w:p w14:paraId="665ACFF0" w14:textId="5FDFA6D1" w:rsidR="004674E6" w:rsidRDefault="004674E6">
      <w:pPr>
        <w:pStyle w:val="TOC2"/>
        <w:rPr>
          <w:rFonts w:asciiTheme="minorHAnsi" w:eastAsiaTheme="minorEastAsia" w:hAnsiTheme="minorHAnsi"/>
          <w:noProof/>
          <w:color w:val="auto"/>
          <w:kern w:val="2"/>
          <w:lang w:eastAsia="en-GB"/>
          <w14:ligatures w14:val="standardContextual"/>
        </w:rPr>
      </w:pPr>
      <w:hyperlink w:anchor="_Toc230249809" w:history="1">
        <w:r w:rsidRPr="00CE6892">
          <w:rPr>
            <w:rStyle w:val="Hyperlink"/>
            <w:noProof/>
          </w:rPr>
          <w:t>13.1 Capital investment</w:t>
        </w:r>
        <w:r>
          <w:rPr>
            <w:noProof/>
          </w:rPr>
          <w:tab/>
        </w:r>
        <w:r>
          <w:rPr>
            <w:noProof/>
          </w:rPr>
          <w:fldChar w:fldCharType="begin"/>
        </w:r>
        <w:r>
          <w:rPr>
            <w:noProof/>
          </w:rPr>
          <w:instrText xml:space="preserve"> PAGEREF _Toc230249809 \h </w:instrText>
        </w:r>
        <w:r>
          <w:rPr>
            <w:noProof/>
          </w:rPr>
        </w:r>
        <w:r>
          <w:rPr>
            <w:noProof/>
          </w:rPr>
          <w:fldChar w:fldCharType="separate"/>
        </w:r>
        <w:r w:rsidR="00140CD3">
          <w:rPr>
            <w:noProof/>
          </w:rPr>
          <w:t>48</w:t>
        </w:r>
        <w:r>
          <w:rPr>
            <w:noProof/>
          </w:rPr>
          <w:fldChar w:fldCharType="end"/>
        </w:r>
      </w:hyperlink>
    </w:p>
    <w:p w14:paraId="44E823F2" w14:textId="0582415F" w:rsidR="004674E6" w:rsidRDefault="004674E6">
      <w:pPr>
        <w:pStyle w:val="TOC2"/>
        <w:rPr>
          <w:rFonts w:asciiTheme="minorHAnsi" w:eastAsiaTheme="minorEastAsia" w:hAnsiTheme="minorHAnsi"/>
          <w:noProof/>
          <w:color w:val="auto"/>
          <w:kern w:val="2"/>
          <w:lang w:eastAsia="en-GB"/>
          <w14:ligatures w14:val="standardContextual"/>
        </w:rPr>
      </w:pPr>
      <w:hyperlink w:anchor="_Toc230249810" w:history="1">
        <w:r w:rsidRPr="00CE6892">
          <w:rPr>
            <w:rStyle w:val="Hyperlink"/>
            <w:noProof/>
          </w:rPr>
          <w:t>13.2 Asset registers</w:t>
        </w:r>
        <w:r>
          <w:rPr>
            <w:noProof/>
          </w:rPr>
          <w:tab/>
        </w:r>
        <w:r>
          <w:rPr>
            <w:noProof/>
          </w:rPr>
          <w:fldChar w:fldCharType="begin"/>
        </w:r>
        <w:r>
          <w:rPr>
            <w:noProof/>
          </w:rPr>
          <w:instrText xml:space="preserve"> PAGEREF _Toc230249810 \h </w:instrText>
        </w:r>
        <w:r>
          <w:rPr>
            <w:noProof/>
          </w:rPr>
        </w:r>
        <w:r>
          <w:rPr>
            <w:noProof/>
          </w:rPr>
          <w:fldChar w:fldCharType="separate"/>
        </w:r>
        <w:r w:rsidR="00140CD3">
          <w:rPr>
            <w:noProof/>
          </w:rPr>
          <w:t>49</w:t>
        </w:r>
        <w:r>
          <w:rPr>
            <w:noProof/>
          </w:rPr>
          <w:fldChar w:fldCharType="end"/>
        </w:r>
      </w:hyperlink>
    </w:p>
    <w:p w14:paraId="18B7DB20" w14:textId="62A01027" w:rsidR="004674E6" w:rsidRDefault="004674E6">
      <w:pPr>
        <w:pStyle w:val="TOC2"/>
        <w:rPr>
          <w:rFonts w:asciiTheme="minorHAnsi" w:eastAsiaTheme="minorEastAsia" w:hAnsiTheme="minorHAnsi"/>
          <w:noProof/>
          <w:color w:val="auto"/>
          <w:kern w:val="2"/>
          <w:lang w:eastAsia="en-GB"/>
          <w14:ligatures w14:val="standardContextual"/>
        </w:rPr>
      </w:pPr>
      <w:hyperlink w:anchor="_Toc230249811" w:history="1">
        <w:r w:rsidRPr="00CE6892">
          <w:rPr>
            <w:rStyle w:val="Hyperlink"/>
            <w:noProof/>
          </w:rPr>
          <w:t>13.3 Security of assets</w:t>
        </w:r>
        <w:r>
          <w:rPr>
            <w:noProof/>
          </w:rPr>
          <w:tab/>
        </w:r>
        <w:r>
          <w:rPr>
            <w:noProof/>
          </w:rPr>
          <w:fldChar w:fldCharType="begin"/>
        </w:r>
        <w:r>
          <w:rPr>
            <w:noProof/>
          </w:rPr>
          <w:instrText xml:space="preserve"> PAGEREF _Toc230249811 \h </w:instrText>
        </w:r>
        <w:r>
          <w:rPr>
            <w:noProof/>
          </w:rPr>
        </w:r>
        <w:r>
          <w:rPr>
            <w:noProof/>
          </w:rPr>
          <w:fldChar w:fldCharType="separate"/>
        </w:r>
        <w:r w:rsidR="00140CD3">
          <w:rPr>
            <w:noProof/>
          </w:rPr>
          <w:t>50</w:t>
        </w:r>
        <w:r>
          <w:rPr>
            <w:noProof/>
          </w:rPr>
          <w:fldChar w:fldCharType="end"/>
        </w:r>
      </w:hyperlink>
    </w:p>
    <w:p w14:paraId="605E16CA" w14:textId="4D6B65EF" w:rsidR="004674E6" w:rsidRDefault="004674E6">
      <w:pPr>
        <w:pStyle w:val="TOC2"/>
        <w:rPr>
          <w:rFonts w:asciiTheme="minorHAnsi" w:eastAsiaTheme="minorEastAsia" w:hAnsiTheme="minorHAnsi"/>
          <w:noProof/>
          <w:color w:val="auto"/>
          <w:kern w:val="2"/>
          <w:lang w:eastAsia="en-GB"/>
          <w14:ligatures w14:val="standardContextual"/>
        </w:rPr>
      </w:pPr>
      <w:hyperlink w:anchor="_Toc230249812" w:history="1">
        <w:r w:rsidRPr="00CE6892">
          <w:rPr>
            <w:rStyle w:val="Hyperlink"/>
            <w:noProof/>
          </w:rPr>
          <w:t>13.4 Grant agreements</w:t>
        </w:r>
        <w:r>
          <w:rPr>
            <w:noProof/>
          </w:rPr>
          <w:tab/>
        </w:r>
        <w:r>
          <w:rPr>
            <w:noProof/>
          </w:rPr>
          <w:fldChar w:fldCharType="begin"/>
        </w:r>
        <w:r>
          <w:rPr>
            <w:noProof/>
          </w:rPr>
          <w:instrText xml:space="preserve"> PAGEREF _Toc230249812 \h </w:instrText>
        </w:r>
        <w:r>
          <w:rPr>
            <w:noProof/>
          </w:rPr>
        </w:r>
        <w:r>
          <w:rPr>
            <w:noProof/>
          </w:rPr>
          <w:fldChar w:fldCharType="separate"/>
        </w:r>
        <w:r w:rsidR="00140CD3">
          <w:rPr>
            <w:noProof/>
          </w:rPr>
          <w:t>51</w:t>
        </w:r>
        <w:r>
          <w:rPr>
            <w:noProof/>
          </w:rPr>
          <w:fldChar w:fldCharType="end"/>
        </w:r>
      </w:hyperlink>
    </w:p>
    <w:p w14:paraId="149D3E1E" w14:textId="6AD0F31E" w:rsidR="004674E6" w:rsidRDefault="004674E6">
      <w:pPr>
        <w:pStyle w:val="TOC1"/>
        <w:rPr>
          <w:rFonts w:asciiTheme="minorHAnsi" w:eastAsiaTheme="minorEastAsia" w:hAnsiTheme="minorHAnsi"/>
          <w:noProof/>
          <w:color w:val="auto"/>
          <w:kern w:val="2"/>
          <w:lang w:eastAsia="en-GB"/>
          <w14:ligatures w14:val="standardContextual"/>
        </w:rPr>
      </w:pPr>
      <w:hyperlink w:anchor="_Toc230249813" w:history="1">
        <w:r w:rsidRPr="00CE6892">
          <w:rPr>
            <w:rStyle w:val="Hyperlink"/>
            <w:noProof/>
          </w:rPr>
          <w:t>14. Losses, special payments and disposals</w:t>
        </w:r>
        <w:r>
          <w:rPr>
            <w:noProof/>
          </w:rPr>
          <w:tab/>
        </w:r>
        <w:r>
          <w:rPr>
            <w:noProof/>
          </w:rPr>
          <w:fldChar w:fldCharType="begin"/>
        </w:r>
        <w:r>
          <w:rPr>
            <w:noProof/>
          </w:rPr>
          <w:instrText xml:space="preserve"> PAGEREF _Toc230249813 \h </w:instrText>
        </w:r>
        <w:r>
          <w:rPr>
            <w:noProof/>
          </w:rPr>
        </w:r>
        <w:r>
          <w:rPr>
            <w:noProof/>
          </w:rPr>
          <w:fldChar w:fldCharType="separate"/>
        </w:r>
        <w:r w:rsidR="00140CD3">
          <w:rPr>
            <w:noProof/>
          </w:rPr>
          <w:t>53</w:t>
        </w:r>
        <w:r>
          <w:rPr>
            <w:noProof/>
          </w:rPr>
          <w:fldChar w:fldCharType="end"/>
        </w:r>
      </w:hyperlink>
    </w:p>
    <w:p w14:paraId="6F64CC9A" w14:textId="3A75B71D" w:rsidR="004674E6" w:rsidRDefault="004674E6">
      <w:pPr>
        <w:pStyle w:val="TOC2"/>
        <w:rPr>
          <w:rFonts w:asciiTheme="minorHAnsi" w:eastAsiaTheme="minorEastAsia" w:hAnsiTheme="minorHAnsi"/>
          <w:noProof/>
          <w:color w:val="auto"/>
          <w:kern w:val="2"/>
          <w:lang w:eastAsia="en-GB"/>
          <w14:ligatures w14:val="standardContextual"/>
        </w:rPr>
      </w:pPr>
      <w:hyperlink w:anchor="_Toc230249814" w:history="1">
        <w:r w:rsidRPr="00CE6892">
          <w:rPr>
            <w:rStyle w:val="Hyperlink"/>
            <w:noProof/>
          </w:rPr>
          <w:t>14.1 Losses and Special Payments</w:t>
        </w:r>
        <w:r>
          <w:rPr>
            <w:noProof/>
          </w:rPr>
          <w:tab/>
        </w:r>
        <w:r>
          <w:rPr>
            <w:noProof/>
          </w:rPr>
          <w:fldChar w:fldCharType="begin"/>
        </w:r>
        <w:r>
          <w:rPr>
            <w:noProof/>
          </w:rPr>
          <w:instrText xml:space="preserve"> PAGEREF _Toc230249814 \h </w:instrText>
        </w:r>
        <w:r>
          <w:rPr>
            <w:noProof/>
          </w:rPr>
        </w:r>
        <w:r>
          <w:rPr>
            <w:noProof/>
          </w:rPr>
          <w:fldChar w:fldCharType="separate"/>
        </w:r>
        <w:r w:rsidR="00140CD3">
          <w:rPr>
            <w:noProof/>
          </w:rPr>
          <w:t>53</w:t>
        </w:r>
        <w:r>
          <w:rPr>
            <w:noProof/>
          </w:rPr>
          <w:fldChar w:fldCharType="end"/>
        </w:r>
      </w:hyperlink>
    </w:p>
    <w:p w14:paraId="090A29A2" w14:textId="78C6A909" w:rsidR="004674E6" w:rsidRDefault="004674E6">
      <w:pPr>
        <w:pStyle w:val="TOC2"/>
        <w:rPr>
          <w:rFonts w:asciiTheme="minorHAnsi" w:eastAsiaTheme="minorEastAsia" w:hAnsiTheme="minorHAnsi"/>
          <w:noProof/>
          <w:color w:val="auto"/>
          <w:kern w:val="2"/>
          <w:lang w:eastAsia="en-GB"/>
          <w14:ligatures w14:val="standardContextual"/>
        </w:rPr>
      </w:pPr>
      <w:hyperlink w:anchor="_Toc230249815" w:history="1">
        <w:r w:rsidRPr="00CE6892">
          <w:rPr>
            <w:rStyle w:val="Hyperlink"/>
            <w:noProof/>
          </w:rPr>
          <w:t>14.2 Disposals</w:t>
        </w:r>
        <w:r>
          <w:rPr>
            <w:noProof/>
          </w:rPr>
          <w:tab/>
        </w:r>
        <w:r>
          <w:rPr>
            <w:noProof/>
          </w:rPr>
          <w:fldChar w:fldCharType="begin"/>
        </w:r>
        <w:r>
          <w:rPr>
            <w:noProof/>
          </w:rPr>
          <w:instrText xml:space="preserve"> PAGEREF _Toc230249815 \h </w:instrText>
        </w:r>
        <w:r>
          <w:rPr>
            <w:noProof/>
          </w:rPr>
        </w:r>
        <w:r>
          <w:rPr>
            <w:noProof/>
          </w:rPr>
          <w:fldChar w:fldCharType="separate"/>
        </w:r>
        <w:r w:rsidR="00140CD3">
          <w:rPr>
            <w:noProof/>
          </w:rPr>
          <w:t>54</w:t>
        </w:r>
        <w:r>
          <w:rPr>
            <w:noProof/>
          </w:rPr>
          <w:fldChar w:fldCharType="end"/>
        </w:r>
      </w:hyperlink>
    </w:p>
    <w:p w14:paraId="65EBDEBA" w14:textId="6BEA36DB" w:rsidR="004674E6" w:rsidRDefault="004674E6">
      <w:pPr>
        <w:pStyle w:val="TOC1"/>
        <w:rPr>
          <w:rFonts w:asciiTheme="minorHAnsi" w:eastAsiaTheme="minorEastAsia" w:hAnsiTheme="minorHAnsi"/>
          <w:noProof/>
          <w:color w:val="auto"/>
          <w:kern w:val="2"/>
          <w:lang w:eastAsia="en-GB"/>
          <w14:ligatures w14:val="standardContextual"/>
        </w:rPr>
      </w:pPr>
      <w:hyperlink w:anchor="_Toc230249816" w:history="1">
        <w:r w:rsidRPr="00CE6892">
          <w:rPr>
            <w:rStyle w:val="Hyperlink"/>
            <w:noProof/>
          </w:rPr>
          <w:t>15. Fraud, bribery and corruption (Economic crime)</w:t>
        </w:r>
        <w:r>
          <w:rPr>
            <w:noProof/>
          </w:rPr>
          <w:tab/>
        </w:r>
        <w:r>
          <w:rPr>
            <w:noProof/>
          </w:rPr>
          <w:fldChar w:fldCharType="begin"/>
        </w:r>
        <w:r>
          <w:rPr>
            <w:noProof/>
          </w:rPr>
          <w:instrText xml:space="preserve"> PAGEREF _Toc230249816 \h </w:instrText>
        </w:r>
        <w:r>
          <w:rPr>
            <w:noProof/>
          </w:rPr>
        </w:r>
        <w:r>
          <w:rPr>
            <w:noProof/>
          </w:rPr>
          <w:fldChar w:fldCharType="separate"/>
        </w:r>
        <w:r w:rsidR="00140CD3">
          <w:rPr>
            <w:noProof/>
          </w:rPr>
          <w:t>55</w:t>
        </w:r>
        <w:r>
          <w:rPr>
            <w:noProof/>
          </w:rPr>
          <w:fldChar w:fldCharType="end"/>
        </w:r>
      </w:hyperlink>
    </w:p>
    <w:p w14:paraId="24CC6C39" w14:textId="2F498BE5" w:rsidR="004674E6" w:rsidRDefault="004674E6">
      <w:pPr>
        <w:pStyle w:val="TOC2"/>
        <w:rPr>
          <w:rFonts w:asciiTheme="minorHAnsi" w:eastAsiaTheme="minorEastAsia" w:hAnsiTheme="minorHAnsi"/>
          <w:noProof/>
          <w:color w:val="auto"/>
          <w:kern w:val="2"/>
          <w:lang w:eastAsia="en-GB"/>
          <w14:ligatures w14:val="standardContextual"/>
        </w:rPr>
      </w:pPr>
      <w:hyperlink w:anchor="_Toc230249817" w:history="1">
        <w:r w:rsidRPr="00CE6892">
          <w:rPr>
            <w:rStyle w:val="Hyperlink"/>
            <w:noProof/>
          </w:rPr>
          <w:t>15.1 Overview</w:t>
        </w:r>
        <w:r>
          <w:rPr>
            <w:noProof/>
          </w:rPr>
          <w:tab/>
        </w:r>
        <w:r>
          <w:rPr>
            <w:noProof/>
          </w:rPr>
          <w:fldChar w:fldCharType="begin"/>
        </w:r>
        <w:r>
          <w:rPr>
            <w:noProof/>
          </w:rPr>
          <w:instrText xml:space="preserve"> PAGEREF _Toc230249817 \h </w:instrText>
        </w:r>
        <w:r>
          <w:rPr>
            <w:noProof/>
          </w:rPr>
        </w:r>
        <w:r>
          <w:rPr>
            <w:noProof/>
          </w:rPr>
          <w:fldChar w:fldCharType="separate"/>
        </w:r>
        <w:r w:rsidR="00140CD3">
          <w:rPr>
            <w:noProof/>
          </w:rPr>
          <w:t>55</w:t>
        </w:r>
        <w:r>
          <w:rPr>
            <w:noProof/>
          </w:rPr>
          <w:fldChar w:fldCharType="end"/>
        </w:r>
      </w:hyperlink>
    </w:p>
    <w:p w14:paraId="51609AB3" w14:textId="7BBEEBB5" w:rsidR="004674E6" w:rsidRDefault="004674E6">
      <w:pPr>
        <w:pStyle w:val="TOC2"/>
        <w:rPr>
          <w:rFonts w:asciiTheme="minorHAnsi" w:eastAsiaTheme="minorEastAsia" w:hAnsiTheme="minorHAnsi"/>
          <w:noProof/>
          <w:color w:val="auto"/>
          <w:kern w:val="2"/>
          <w:lang w:eastAsia="en-GB"/>
          <w14:ligatures w14:val="standardContextual"/>
        </w:rPr>
      </w:pPr>
      <w:hyperlink w:anchor="_Toc230249818" w:history="1">
        <w:r w:rsidRPr="00CE6892">
          <w:rPr>
            <w:rStyle w:val="Hyperlink"/>
            <w:noProof/>
          </w:rPr>
          <w:t>15.2 Suspected fraud</w:t>
        </w:r>
        <w:r>
          <w:rPr>
            <w:noProof/>
          </w:rPr>
          <w:tab/>
        </w:r>
        <w:r>
          <w:rPr>
            <w:noProof/>
          </w:rPr>
          <w:fldChar w:fldCharType="begin"/>
        </w:r>
        <w:r>
          <w:rPr>
            <w:noProof/>
          </w:rPr>
          <w:instrText xml:space="preserve"> PAGEREF _Toc230249818 \h </w:instrText>
        </w:r>
        <w:r>
          <w:rPr>
            <w:noProof/>
          </w:rPr>
        </w:r>
        <w:r>
          <w:rPr>
            <w:noProof/>
          </w:rPr>
          <w:fldChar w:fldCharType="separate"/>
        </w:r>
        <w:r w:rsidR="00140CD3">
          <w:rPr>
            <w:noProof/>
          </w:rPr>
          <w:t>55</w:t>
        </w:r>
        <w:r>
          <w:rPr>
            <w:noProof/>
          </w:rPr>
          <w:fldChar w:fldCharType="end"/>
        </w:r>
      </w:hyperlink>
    </w:p>
    <w:p w14:paraId="021BB69F" w14:textId="50B84DB0" w:rsidR="004674E6" w:rsidRDefault="004674E6">
      <w:pPr>
        <w:pStyle w:val="TOC1"/>
        <w:rPr>
          <w:rFonts w:asciiTheme="minorHAnsi" w:eastAsiaTheme="minorEastAsia" w:hAnsiTheme="minorHAnsi"/>
          <w:noProof/>
          <w:color w:val="auto"/>
          <w:kern w:val="2"/>
          <w:lang w:eastAsia="en-GB"/>
          <w14:ligatures w14:val="standardContextual"/>
        </w:rPr>
      </w:pPr>
      <w:hyperlink w:anchor="_Toc230249819" w:history="1">
        <w:r w:rsidRPr="00CE6892">
          <w:rPr>
            <w:rStyle w:val="Hyperlink"/>
            <w:noProof/>
          </w:rPr>
          <w:t>16. Digital Financial data</w:t>
        </w:r>
        <w:r>
          <w:rPr>
            <w:noProof/>
          </w:rPr>
          <w:tab/>
        </w:r>
        <w:r>
          <w:rPr>
            <w:noProof/>
          </w:rPr>
          <w:fldChar w:fldCharType="begin"/>
        </w:r>
        <w:r>
          <w:rPr>
            <w:noProof/>
          </w:rPr>
          <w:instrText xml:space="preserve"> PAGEREF _Toc230249819 \h </w:instrText>
        </w:r>
        <w:r>
          <w:rPr>
            <w:noProof/>
          </w:rPr>
        </w:r>
        <w:r>
          <w:rPr>
            <w:noProof/>
          </w:rPr>
          <w:fldChar w:fldCharType="separate"/>
        </w:r>
        <w:r w:rsidR="00140CD3">
          <w:rPr>
            <w:noProof/>
          </w:rPr>
          <w:t>56</w:t>
        </w:r>
        <w:r>
          <w:rPr>
            <w:noProof/>
          </w:rPr>
          <w:fldChar w:fldCharType="end"/>
        </w:r>
      </w:hyperlink>
    </w:p>
    <w:p w14:paraId="7C39B352" w14:textId="22EB7995" w:rsidR="004674E6" w:rsidRDefault="004674E6">
      <w:pPr>
        <w:pStyle w:val="TOC2"/>
        <w:rPr>
          <w:rFonts w:asciiTheme="minorHAnsi" w:eastAsiaTheme="minorEastAsia" w:hAnsiTheme="minorHAnsi"/>
          <w:noProof/>
          <w:color w:val="auto"/>
          <w:kern w:val="2"/>
          <w:lang w:eastAsia="en-GB"/>
          <w14:ligatures w14:val="standardContextual"/>
        </w:rPr>
      </w:pPr>
      <w:hyperlink w:anchor="_Toc230249820" w:history="1">
        <w:r w:rsidRPr="00CE6892">
          <w:rPr>
            <w:rStyle w:val="Hyperlink"/>
            <w:noProof/>
          </w:rPr>
          <w:t>16.1 Responsibilities and duties of the Chief Finance Officer</w:t>
        </w:r>
        <w:r>
          <w:rPr>
            <w:noProof/>
          </w:rPr>
          <w:tab/>
        </w:r>
        <w:r>
          <w:rPr>
            <w:noProof/>
          </w:rPr>
          <w:fldChar w:fldCharType="begin"/>
        </w:r>
        <w:r>
          <w:rPr>
            <w:noProof/>
          </w:rPr>
          <w:instrText xml:space="preserve"> PAGEREF _Toc230249820 \h </w:instrText>
        </w:r>
        <w:r>
          <w:rPr>
            <w:noProof/>
          </w:rPr>
        </w:r>
        <w:r>
          <w:rPr>
            <w:noProof/>
          </w:rPr>
          <w:fldChar w:fldCharType="separate"/>
        </w:r>
        <w:r w:rsidR="00140CD3">
          <w:rPr>
            <w:noProof/>
          </w:rPr>
          <w:t>56</w:t>
        </w:r>
        <w:r>
          <w:rPr>
            <w:noProof/>
          </w:rPr>
          <w:fldChar w:fldCharType="end"/>
        </w:r>
      </w:hyperlink>
    </w:p>
    <w:p w14:paraId="4CA14E85" w14:textId="0BF968BC" w:rsidR="004674E6" w:rsidRDefault="004674E6">
      <w:pPr>
        <w:pStyle w:val="TOC2"/>
        <w:rPr>
          <w:rFonts w:asciiTheme="minorHAnsi" w:eastAsiaTheme="minorEastAsia" w:hAnsiTheme="minorHAnsi"/>
          <w:noProof/>
          <w:color w:val="auto"/>
          <w:kern w:val="2"/>
          <w:lang w:eastAsia="en-GB"/>
          <w14:ligatures w14:val="standardContextual"/>
        </w:rPr>
      </w:pPr>
      <w:hyperlink w:anchor="_Toc230249821" w:history="1">
        <w:r w:rsidRPr="00CE6892">
          <w:rPr>
            <w:rStyle w:val="Hyperlink"/>
            <w:noProof/>
          </w:rPr>
          <w:t>16.2 Responsibilities and duties of other Chief Officers and Officers in relation to computer systems of a general application</w:t>
        </w:r>
        <w:r>
          <w:rPr>
            <w:noProof/>
          </w:rPr>
          <w:tab/>
        </w:r>
        <w:r>
          <w:rPr>
            <w:noProof/>
          </w:rPr>
          <w:fldChar w:fldCharType="begin"/>
        </w:r>
        <w:r>
          <w:rPr>
            <w:noProof/>
          </w:rPr>
          <w:instrText xml:space="preserve"> PAGEREF _Toc230249821 \h </w:instrText>
        </w:r>
        <w:r>
          <w:rPr>
            <w:noProof/>
          </w:rPr>
        </w:r>
        <w:r>
          <w:rPr>
            <w:noProof/>
          </w:rPr>
          <w:fldChar w:fldCharType="separate"/>
        </w:r>
        <w:r w:rsidR="00140CD3">
          <w:rPr>
            <w:noProof/>
          </w:rPr>
          <w:t>57</w:t>
        </w:r>
        <w:r>
          <w:rPr>
            <w:noProof/>
          </w:rPr>
          <w:fldChar w:fldCharType="end"/>
        </w:r>
      </w:hyperlink>
    </w:p>
    <w:p w14:paraId="634E2D4A" w14:textId="2E873B9C" w:rsidR="004674E6" w:rsidRDefault="004674E6">
      <w:pPr>
        <w:pStyle w:val="TOC2"/>
        <w:rPr>
          <w:rFonts w:asciiTheme="minorHAnsi" w:eastAsiaTheme="minorEastAsia" w:hAnsiTheme="minorHAnsi"/>
          <w:noProof/>
          <w:color w:val="auto"/>
          <w:kern w:val="2"/>
          <w:lang w:eastAsia="en-GB"/>
          <w14:ligatures w14:val="standardContextual"/>
        </w:rPr>
      </w:pPr>
      <w:hyperlink w:anchor="_Toc230249822" w:history="1">
        <w:r w:rsidRPr="00CE6892">
          <w:rPr>
            <w:rStyle w:val="Hyperlink"/>
            <w:noProof/>
          </w:rPr>
          <w:t>16.3 Contracts for digital services for financial applications with other health bodies or outside agencies</w:t>
        </w:r>
        <w:r>
          <w:rPr>
            <w:noProof/>
          </w:rPr>
          <w:tab/>
        </w:r>
        <w:r>
          <w:rPr>
            <w:noProof/>
          </w:rPr>
          <w:fldChar w:fldCharType="begin"/>
        </w:r>
        <w:r>
          <w:rPr>
            <w:noProof/>
          </w:rPr>
          <w:instrText xml:space="preserve"> PAGEREF _Toc230249822 \h </w:instrText>
        </w:r>
        <w:r>
          <w:rPr>
            <w:noProof/>
          </w:rPr>
        </w:r>
        <w:r>
          <w:rPr>
            <w:noProof/>
          </w:rPr>
          <w:fldChar w:fldCharType="separate"/>
        </w:r>
        <w:r w:rsidR="00140CD3">
          <w:rPr>
            <w:noProof/>
          </w:rPr>
          <w:t>57</w:t>
        </w:r>
        <w:r>
          <w:rPr>
            <w:noProof/>
          </w:rPr>
          <w:fldChar w:fldCharType="end"/>
        </w:r>
      </w:hyperlink>
    </w:p>
    <w:p w14:paraId="492C5C14" w14:textId="31A7493E" w:rsidR="004674E6" w:rsidRDefault="004674E6">
      <w:pPr>
        <w:pStyle w:val="TOC2"/>
        <w:rPr>
          <w:rFonts w:asciiTheme="minorHAnsi" w:eastAsiaTheme="minorEastAsia" w:hAnsiTheme="minorHAnsi"/>
          <w:noProof/>
          <w:color w:val="auto"/>
          <w:kern w:val="2"/>
          <w:lang w:eastAsia="en-GB"/>
          <w14:ligatures w14:val="standardContextual"/>
        </w:rPr>
      </w:pPr>
      <w:hyperlink w:anchor="_Toc230249823" w:history="1">
        <w:r w:rsidRPr="00CE6892">
          <w:rPr>
            <w:rStyle w:val="Hyperlink"/>
            <w:noProof/>
          </w:rPr>
          <w:t>16.4 Requirements for computer systems which have an impact on corporate financial systems</w:t>
        </w:r>
        <w:r>
          <w:rPr>
            <w:noProof/>
          </w:rPr>
          <w:tab/>
        </w:r>
        <w:r>
          <w:rPr>
            <w:noProof/>
          </w:rPr>
          <w:fldChar w:fldCharType="begin"/>
        </w:r>
        <w:r>
          <w:rPr>
            <w:noProof/>
          </w:rPr>
          <w:instrText xml:space="preserve"> PAGEREF _Toc230249823 \h </w:instrText>
        </w:r>
        <w:r>
          <w:rPr>
            <w:noProof/>
          </w:rPr>
        </w:r>
        <w:r>
          <w:rPr>
            <w:noProof/>
          </w:rPr>
          <w:fldChar w:fldCharType="separate"/>
        </w:r>
        <w:r w:rsidR="00140CD3">
          <w:rPr>
            <w:noProof/>
          </w:rPr>
          <w:t>58</w:t>
        </w:r>
        <w:r>
          <w:rPr>
            <w:noProof/>
          </w:rPr>
          <w:fldChar w:fldCharType="end"/>
        </w:r>
      </w:hyperlink>
    </w:p>
    <w:p w14:paraId="45D55032" w14:textId="2A21C5D9" w:rsidR="004674E6" w:rsidRDefault="004674E6">
      <w:pPr>
        <w:pStyle w:val="TOC1"/>
        <w:rPr>
          <w:rFonts w:asciiTheme="minorHAnsi" w:eastAsiaTheme="minorEastAsia" w:hAnsiTheme="minorHAnsi"/>
          <w:noProof/>
          <w:color w:val="auto"/>
          <w:kern w:val="2"/>
          <w:lang w:eastAsia="en-GB"/>
          <w14:ligatures w14:val="standardContextual"/>
        </w:rPr>
      </w:pPr>
      <w:hyperlink w:anchor="_Toc230249824" w:history="1">
        <w:r w:rsidRPr="00CE6892">
          <w:rPr>
            <w:rStyle w:val="Hyperlink"/>
            <w:noProof/>
          </w:rPr>
          <w:t>17. Gifts and donations</w:t>
        </w:r>
        <w:r>
          <w:rPr>
            <w:noProof/>
          </w:rPr>
          <w:tab/>
        </w:r>
        <w:r>
          <w:rPr>
            <w:noProof/>
          </w:rPr>
          <w:fldChar w:fldCharType="begin"/>
        </w:r>
        <w:r>
          <w:rPr>
            <w:noProof/>
          </w:rPr>
          <w:instrText xml:space="preserve"> PAGEREF _Toc230249824 \h </w:instrText>
        </w:r>
        <w:r>
          <w:rPr>
            <w:noProof/>
          </w:rPr>
        </w:r>
        <w:r>
          <w:rPr>
            <w:noProof/>
          </w:rPr>
          <w:fldChar w:fldCharType="separate"/>
        </w:r>
        <w:r w:rsidR="00140CD3">
          <w:rPr>
            <w:noProof/>
          </w:rPr>
          <w:t>58</w:t>
        </w:r>
        <w:r>
          <w:rPr>
            <w:noProof/>
          </w:rPr>
          <w:fldChar w:fldCharType="end"/>
        </w:r>
      </w:hyperlink>
    </w:p>
    <w:p w14:paraId="23725B58" w14:textId="0E7AE3CE" w:rsidR="004674E6" w:rsidRDefault="004674E6">
      <w:pPr>
        <w:pStyle w:val="TOC2"/>
        <w:rPr>
          <w:rFonts w:asciiTheme="minorHAnsi" w:eastAsiaTheme="minorEastAsia" w:hAnsiTheme="minorHAnsi"/>
          <w:noProof/>
          <w:color w:val="auto"/>
          <w:kern w:val="2"/>
          <w:lang w:eastAsia="en-GB"/>
          <w14:ligatures w14:val="standardContextual"/>
        </w:rPr>
      </w:pPr>
      <w:hyperlink w:anchor="_Toc230249825" w:history="1">
        <w:r w:rsidRPr="00CE6892">
          <w:rPr>
            <w:rStyle w:val="Hyperlink"/>
            <w:noProof/>
          </w:rPr>
          <w:t>17.1 Acceptance of Gifts</w:t>
        </w:r>
        <w:r>
          <w:rPr>
            <w:noProof/>
          </w:rPr>
          <w:tab/>
        </w:r>
        <w:r>
          <w:rPr>
            <w:noProof/>
          </w:rPr>
          <w:fldChar w:fldCharType="begin"/>
        </w:r>
        <w:r>
          <w:rPr>
            <w:noProof/>
          </w:rPr>
          <w:instrText xml:space="preserve"> PAGEREF _Toc230249825 \h </w:instrText>
        </w:r>
        <w:r>
          <w:rPr>
            <w:noProof/>
          </w:rPr>
        </w:r>
        <w:r>
          <w:rPr>
            <w:noProof/>
          </w:rPr>
          <w:fldChar w:fldCharType="separate"/>
        </w:r>
        <w:r w:rsidR="00140CD3">
          <w:rPr>
            <w:noProof/>
          </w:rPr>
          <w:t>58</w:t>
        </w:r>
        <w:r>
          <w:rPr>
            <w:noProof/>
          </w:rPr>
          <w:fldChar w:fldCharType="end"/>
        </w:r>
      </w:hyperlink>
    </w:p>
    <w:p w14:paraId="7526F5E3" w14:textId="7E25331E" w:rsidR="004674E6" w:rsidRDefault="004674E6">
      <w:pPr>
        <w:pStyle w:val="TOC2"/>
        <w:rPr>
          <w:rFonts w:asciiTheme="minorHAnsi" w:eastAsiaTheme="minorEastAsia" w:hAnsiTheme="minorHAnsi"/>
          <w:noProof/>
          <w:color w:val="auto"/>
          <w:kern w:val="2"/>
          <w:lang w:eastAsia="en-GB"/>
          <w14:ligatures w14:val="standardContextual"/>
        </w:rPr>
      </w:pPr>
      <w:hyperlink w:anchor="_Toc230249826" w:history="1">
        <w:r w:rsidRPr="00CE6892">
          <w:rPr>
            <w:rStyle w:val="Hyperlink"/>
            <w:noProof/>
          </w:rPr>
          <w:t>17.2 Granting of Gifts</w:t>
        </w:r>
        <w:r>
          <w:rPr>
            <w:noProof/>
          </w:rPr>
          <w:tab/>
        </w:r>
        <w:r>
          <w:rPr>
            <w:noProof/>
          </w:rPr>
          <w:fldChar w:fldCharType="begin"/>
        </w:r>
        <w:r>
          <w:rPr>
            <w:noProof/>
          </w:rPr>
          <w:instrText xml:space="preserve"> PAGEREF _Toc230249826 \h </w:instrText>
        </w:r>
        <w:r>
          <w:rPr>
            <w:noProof/>
          </w:rPr>
        </w:r>
        <w:r>
          <w:rPr>
            <w:noProof/>
          </w:rPr>
          <w:fldChar w:fldCharType="separate"/>
        </w:r>
        <w:r w:rsidR="00140CD3">
          <w:rPr>
            <w:noProof/>
          </w:rPr>
          <w:t>58</w:t>
        </w:r>
        <w:r>
          <w:rPr>
            <w:noProof/>
          </w:rPr>
          <w:fldChar w:fldCharType="end"/>
        </w:r>
      </w:hyperlink>
    </w:p>
    <w:p w14:paraId="72B40B22" w14:textId="63BAFD9A" w:rsidR="004674E6" w:rsidRDefault="004674E6">
      <w:pPr>
        <w:pStyle w:val="TOC2"/>
        <w:rPr>
          <w:rFonts w:asciiTheme="minorHAnsi" w:eastAsiaTheme="minorEastAsia" w:hAnsiTheme="minorHAnsi"/>
          <w:noProof/>
          <w:color w:val="auto"/>
          <w:kern w:val="2"/>
          <w:lang w:eastAsia="en-GB"/>
          <w14:ligatures w14:val="standardContextual"/>
        </w:rPr>
      </w:pPr>
      <w:hyperlink w:anchor="_Toc230249827" w:history="1">
        <w:r w:rsidRPr="00CE6892">
          <w:rPr>
            <w:rStyle w:val="Hyperlink"/>
            <w:noProof/>
          </w:rPr>
          <w:t>17.3 Donations</w:t>
        </w:r>
        <w:r>
          <w:rPr>
            <w:noProof/>
          </w:rPr>
          <w:tab/>
        </w:r>
        <w:r>
          <w:rPr>
            <w:noProof/>
          </w:rPr>
          <w:fldChar w:fldCharType="begin"/>
        </w:r>
        <w:r>
          <w:rPr>
            <w:noProof/>
          </w:rPr>
          <w:instrText xml:space="preserve"> PAGEREF _Toc230249827 \h </w:instrText>
        </w:r>
        <w:r>
          <w:rPr>
            <w:noProof/>
          </w:rPr>
        </w:r>
        <w:r>
          <w:rPr>
            <w:noProof/>
          </w:rPr>
          <w:fldChar w:fldCharType="separate"/>
        </w:r>
        <w:r w:rsidR="00140CD3">
          <w:rPr>
            <w:noProof/>
          </w:rPr>
          <w:t>58</w:t>
        </w:r>
        <w:r>
          <w:rPr>
            <w:noProof/>
          </w:rPr>
          <w:fldChar w:fldCharType="end"/>
        </w:r>
      </w:hyperlink>
    </w:p>
    <w:p w14:paraId="001C195B" w14:textId="797122E8" w:rsidR="004674E6" w:rsidRDefault="004674E6">
      <w:pPr>
        <w:pStyle w:val="TOC1"/>
        <w:rPr>
          <w:rFonts w:asciiTheme="minorHAnsi" w:eastAsiaTheme="minorEastAsia" w:hAnsiTheme="minorHAnsi"/>
          <w:noProof/>
          <w:color w:val="auto"/>
          <w:kern w:val="2"/>
          <w:lang w:eastAsia="en-GB"/>
          <w14:ligatures w14:val="standardContextual"/>
        </w:rPr>
      </w:pPr>
      <w:hyperlink w:anchor="_Toc230249828" w:history="1">
        <w:r w:rsidRPr="00CE6892">
          <w:rPr>
            <w:rStyle w:val="Hyperlink"/>
            <w:noProof/>
          </w:rPr>
          <w:t>18. Retention of records</w:t>
        </w:r>
        <w:r>
          <w:rPr>
            <w:noProof/>
          </w:rPr>
          <w:tab/>
        </w:r>
        <w:r>
          <w:rPr>
            <w:noProof/>
          </w:rPr>
          <w:fldChar w:fldCharType="begin"/>
        </w:r>
        <w:r>
          <w:rPr>
            <w:noProof/>
          </w:rPr>
          <w:instrText xml:space="preserve"> PAGEREF _Toc230249828 \h </w:instrText>
        </w:r>
        <w:r>
          <w:rPr>
            <w:noProof/>
          </w:rPr>
        </w:r>
        <w:r>
          <w:rPr>
            <w:noProof/>
          </w:rPr>
          <w:fldChar w:fldCharType="separate"/>
        </w:r>
        <w:r w:rsidR="00140CD3">
          <w:rPr>
            <w:noProof/>
          </w:rPr>
          <w:t>60</w:t>
        </w:r>
        <w:r>
          <w:rPr>
            <w:noProof/>
          </w:rPr>
          <w:fldChar w:fldCharType="end"/>
        </w:r>
      </w:hyperlink>
    </w:p>
    <w:p w14:paraId="5105713A" w14:textId="01BE721F" w:rsidR="004674E6" w:rsidRDefault="004674E6">
      <w:pPr>
        <w:pStyle w:val="TOC2"/>
        <w:rPr>
          <w:rFonts w:asciiTheme="minorHAnsi" w:eastAsiaTheme="minorEastAsia" w:hAnsiTheme="minorHAnsi"/>
          <w:noProof/>
          <w:color w:val="auto"/>
          <w:kern w:val="2"/>
          <w:lang w:eastAsia="en-GB"/>
          <w14:ligatures w14:val="standardContextual"/>
        </w:rPr>
      </w:pPr>
      <w:hyperlink w:anchor="_Toc230249829" w:history="1">
        <w:r w:rsidRPr="00CE6892">
          <w:rPr>
            <w:rStyle w:val="Hyperlink"/>
            <w:noProof/>
          </w:rPr>
          <w:t>18.1 Overview</w:t>
        </w:r>
        <w:r>
          <w:rPr>
            <w:noProof/>
          </w:rPr>
          <w:tab/>
        </w:r>
        <w:r>
          <w:rPr>
            <w:noProof/>
          </w:rPr>
          <w:fldChar w:fldCharType="begin"/>
        </w:r>
        <w:r>
          <w:rPr>
            <w:noProof/>
          </w:rPr>
          <w:instrText xml:space="preserve"> PAGEREF _Toc230249829 \h </w:instrText>
        </w:r>
        <w:r>
          <w:rPr>
            <w:noProof/>
          </w:rPr>
        </w:r>
        <w:r>
          <w:rPr>
            <w:noProof/>
          </w:rPr>
          <w:fldChar w:fldCharType="separate"/>
        </w:r>
        <w:r w:rsidR="00140CD3">
          <w:rPr>
            <w:noProof/>
          </w:rPr>
          <w:t>60</w:t>
        </w:r>
        <w:r>
          <w:rPr>
            <w:noProof/>
          </w:rPr>
          <w:fldChar w:fldCharType="end"/>
        </w:r>
      </w:hyperlink>
    </w:p>
    <w:p w14:paraId="58D5AE9D" w14:textId="3CA114A7" w:rsidR="004674E6" w:rsidRDefault="004674E6">
      <w:pPr>
        <w:pStyle w:val="TOC1"/>
        <w:rPr>
          <w:rFonts w:asciiTheme="minorHAnsi" w:eastAsiaTheme="minorEastAsia" w:hAnsiTheme="minorHAnsi"/>
          <w:noProof/>
          <w:color w:val="auto"/>
          <w:kern w:val="2"/>
          <w:lang w:eastAsia="en-GB"/>
          <w14:ligatures w14:val="standardContextual"/>
        </w:rPr>
      </w:pPr>
      <w:hyperlink w:anchor="_Toc230249830" w:history="1">
        <w:r w:rsidRPr="00CE6892">
          <w:rPr>
            <w:rStyle w:val="Hyperlink"/>
            <w:noProof/>
          </w:rPr>
          <w:t>19. Risk Management, legal and insurance</w:t>
        </w:r>
        <w:r>
          <w:rPr>
            <w:noProof/>
          </w:rPr>
          <w:tab/>
        </w:r>
        <w:r>
          <w:rPr>
            <w:noProof/>
          </w:rPr>
          <w:fldChar w:fldCharType="begin"/>
        </w:r>
        <w:r>
          <w:rPr>
            <w:noProof/>
          </w:rPr>
          <w:instrText xml:space="preserve"> PAGEREF _Toc230249830 \h </w:instrText>
        </w:r>
        <w:r>
          <w:rPr>
            <w:noProof/>
          </w:rPr>
        </w:r>
        <w:r>
          <w:rPr>
            <w:noProof/>
          </w:rPr>
          <w:fldChar w:fldCharType="separate"/>
        </w:r>
        <w:r w:rsidR="00140CD3">
          <w:rPr>
            <w:noProof/>
          </w:rPr>
          <w:t>60</w:t>
        </w:r>
        <w:r>
          <w:rPr>
            <w:noProof/>
          </w:rPr>
          <w:fldChar w:fldCharType="end"/>
        </w:r>
      </w:hyperlink>
    </w:p>
    <w:p w14:paraId="18989E85" w14:textId="134F3D42" w:rsidR="004674E6" w:rsidRDefault="004674E6">
      <w:pPr>
        <w:pStyle w:val="TOC2"/>
        <w:rPr>
          <w:rFonts w:asciiTheme="minorHAnsi" w:eastAsiaTheme="minorEastAsia" w:hAnsiTheme="minorHAnsi"/>
          <w:noProof/>
          <w:color w:val="auto"/>
          <w:kern w:val="2"/>
          <w:lang w:eastAsia="en-GB"/>
          <w14:ligatures w14:val="standardContextual"/>
        </w:rPr>
      </w:pPr>
      <w:hyperlink w:anchor="_Toc230249831" w:history="1">
        <w:r w:rsidRPr="00CE6892">
          <w:rPr>
            <w:rStyle w:val="Hyperlink"/>
            <w:noProof/>
          </w:rPr>
          <w:t>19.1 Risk management</w:t>
        </w:r>
        <w:r>
          <w:rPr>
            <w:noProof/>
          </w:rPr>
          <w:tab/>
        </w:r>
        <w:r>
          <w:rPr>
            <w:noProof/>
          </w:rPr>
          <w:fldChar w:fldCharType="begin"/>
        </w:r>
        <w:r>
          <w:rPr>
            <w:noProof/>
          </w:rPr>
          <w:instrText xml:space="preserve"> PAGEREF _Toc230249831 \h </w:instrText>
        </w:r>
        <w:r>
          <w:rPr>
            <w:noProof/>
          </w:rPr>
        </w:r>
        <w:r>
          <w:rPr>
            <w:noProof/>
          </w:rPr>
          <w:fldChar w:fldCharType="separate"/>
        </w:r>
        <w:r w:rsidR="00140CD3">
          <w:rPr>
            <w:noProof/>
          </w:rPr>
          <w:t>60</w:t>
        </w:r>
        <w:r>
          <w:rPr>
            <w:noProof/>
          </w:rPr>
          <w:fldChar w:fldCharType="end"/>
        </w:r>
      </w:hyperlink>
    </w:p>
    <w:p w14:paraId="320613DB" w14:textId="2232B724" w:rsidR="004674E6" w:rsidRDefault="004674E6">
      <w:pPr>
        <w:pStyle w:val="TOC2"/>
        <w:rPr>
          <w:rFonts w:asciiTheme="minorHAnsi" w:eastAsiaTheme="minorEastAsia" w:hAnsiTheme="minorHAnsi"/>
          <w:noProof/>
          <w:color w:val="auto"/>
          <w:kern w:val="2"/>
          <w:lang w:eastAsia="en-GB"/>
          <w14:ligatures w14:val="standardContextual"/>
        </w:rPr>
      </w:pPr>
      <w:hyperlink w:anchor="_Toc230249832" w:history="1">
        <w:r w:rsidRPr="00CE6892">
          <w:rPr>
            <w:rStyle w:val="Hyperlink"/>
            <w:noProof/>
          </w:rPr>
          <w:t>19.2 Legal</w:t>
        </w:r>
        <w:r>
          <w:rPr>
            <w:noProof/>
          </w:rPr>
          <w:tab/>
        </w:r>
        <w:r>
          <w:rPr>
            <w:noProof/>
          </w:rPr>
          <w:fldChar w:fldCharType="begin"/>
        </w:r>
        <w:r>
          <w:rPr>
            <w:noProof/>
          </w:rPr>
          <w:instrText xml:space="preserve"> PAGEREF _Toc230249832 \h </w:instrText>
        </w:r>
        <w:r>
          <w:rPr>
            <w:noProof/>
          </w:rPr>
        </w:r>
        <w:r>
          <w:rPr>
            <w:noProof/>
          </w:rPr>
          <w:fldChar w:fldCharType="separate"/>
        </w:r>
        <w:r w:rsidR="00140CD3">
          <w:rPr>
            <w:noProof/>
          </w:rPr>
          <w:t>61</w:t>
        </w:r>
        <w:r>
          <w:rPr>
            <w:noProof/>
          </w:rPr>
          <w:fldChar w:fldCharType="end"/>
        </w:r>
      </w:hyperlink>
    </w:p>
    <w:p w14:paraId="2E349399" w14:textId="5124277A" w:rsidR="004674E6" w:rsidRDefault="004674E6">
      <w:pPr>
        <w:pStyle w:val="TOC2"/>
        <w:rPr>
          <w:rFonts w:asciiTheme="minorHAnsi" w:eastAsiaTheme="minorEastAsia" w:hAnsiTheme="minorHAnsi"/>
          <w:noProof/>
          <w:color w:val="auto"/>
          <w:kern w:val="2"/>
          <w:lang w:eastAsia="en-GB"/>
          <w14:ligatures w14:val="standardContextual"/>
        </w:rPr>
      </w:pPr>
      <w:hyperlink w:anchor="_Toc230249833" w:history="1">
        <w:r w:rsidRPr="00CE6892">
          <w:rPr>
            <w:rStyle w:val="Hyperlink"/>
            <w:noProof/>
          </w:rPr>
          <w:t>19.3 Insurance</w:t>
        </w:r>
        <w:r>
          <w:rPr>
            <w:noProof/>
          </w:rPr>
          <w:tab/>
        </w:r>
        <w:r>
          <w:rPr>
            <w:noProof/>
          </w:rPr>
          <w:fldChar w:fldCharType="begin"/>
        </w:r>
        <w:r>
          <w:rPr>
            <w:noProof/>
          </w:rPr>
          <w:instrText xml:space="preserve"> PAGEREF _Toc230249833 \h </w:instrText>
        </w:r>
        <w:r>
          <w:rPr>
            <w:noProof/>
          </w:rPr>
        </w:r>
        <w:r>
          <w:rPr>
            <w:noProof/>
          </w:rPr>
          <w:fldChar w:fldCharType="separate"/>
        </w:r>
        <w:r w:rsidR="00140CD3">
          <w:rPr>
            <w:noProof/>
          </w:rPr>
          <w:t>62</w:t>
        </w:r>
        <w:r>
          <w:rPr>
            <w:noProof/>
          </w:rPr>
          <w:fldChar w:fldCharType="end"/>
        </w:r>
      </w:hyperlink>
    </w:p>
    <w:p w14:paraId="74914156" w14:textId="6DD33E77" w:rsidR="00267006" w:rsidRDefault="00510CDF" w:rsidP="004C1E2A">
      <w:r>
        <w:fldChar w:fldCharType="end"/>
      </w:r>
    </w:p>
    <w:p w14:paraId="6F7E5876" w14:textId="2821C947" w:rsidR="00DD740B" w:rsidRDefault="00DD740B" w:rsidP="00DD740B">
      <w:pPr>
        <w:tabs>
          <w:tab w:val="left" w:pos="3832"/>
        </w:tabs>
      </w:pPr>
      <w:r>
        <w:tab/>
      </w:r>
    </w:p>
    <w:p w14:paraId="71E30259" w14:textId="67261CFF" w:rsidR="00DD740B" w:rsidRPr="00DD740B" w:rsidRDefault="00DD740B" w:rsidP="00DD740B">
      <w:pPr>
        <w:tabs>
          <w:tab w:val="left" w:pos="3832"/>
        </w:tabs>
        <w:sectPr w:rsidR="00DD740B" w:rsidRPr="00DD740B" w:rsidSect="008F333A">
          <w:headerReference w:type="default" r:id="rId17"/>
          <w:footerReference w:type="default" r:id="rId18"/>
          <w:pgSz w:w="11906" w:h="16838" w:code="9"/>
          <w:pgMar w:top="1276" w:right="1928" w:bottom="1134" w:left="1077" w:header="454" w:footer="510" w:gutter="0"/>
          <w:pgNumType w:start="1"/>
          <w:cols w:space="708"/>
          <w:docGrid w:linePitch="360"/>
        </w:sectPr>
      </w:pPr>
      <w:r>
        <w:tab/>
      </w:r>
    </w:p>
    <w:p w14:paraId="2CDDFE41" w14:textId="542B8C33" w:rsidR="00F86A73" w:rsidRPr="00CC12DF" w:rsidRDefault="00292C02" w:rsidP="004C1E2A">
      <w:pPr>
        <w:pStyle w:val="Heading1Numbered"/>
        <w:ind w:left="0"/>
        <w:rPr>
          <w:color w:val="002060"/>
          <w:sz w:val="52"/>
          <w:szCs w:val="24"/>
        </w:rPr>
      </w:pPr>
      <w:bookmarkStart w:id="0" w:name="_Toc230249744"/>
      <w:r w:rsidRPr="00CC12DF">
        <w:rPr>
          <w:color w:val="002060"/>
          <w:sz w:val="52"/>
          <w:szCs w:val="24"/>
        </w:rPr>
        <w:lastRenderedPageBreak/>
        <w:t>Purpose</w:t>
      </w:r>
      <w:r w:rsidR="00D311CD" w:rsidRPr="00CC12DF">
        <w:rPr>
          <w:color w:val="002060"/>
          <w:sz w:val="52"/>
          <w:szCs w:val="24"/>
        </w:rPr>
        <w:t xml:space="preserve"> and statutory framework</w:t>
      </w:r>
      <w:bookmarkEnd w:id="0"/>
      <w:r w:rsidR="00D311CD" w:rsidRPr="00CC12DF">
        <w:rPr>
          <w:color w:val="002060"/>
          <w:sz w:val="52"/>
          <w:szCs w:val="24"/>
        </w:rPr>
        <w:t xml:space="preserve"> </w:t>
      </w:r>
    </w:p>
    <w:p w14:paraId="233DD4DF" w14:textId="23C32BB4" w:rsidR="004F2BA1" w:rsidRDefault="004F2BA1" w:rsidP="0070678C">
      <w:pPr>
        <w:pStyle w:val="Heading3Numbered"/>
      </w:pPr>
      <w:r>
        <w:t xml:space="preserve">These </w:t>
      </w:r>
      <w:r w:rsidR="00365AAD">
        <w:t xml:space="preserve">Standing Financial Instructions </w:t>
      </w:r>
      <w:r w:rsidR="00CB518F">
        <w:t xml:space="preserve">(SFIs) </w:t>
      </w:r>
      <w:r w:rsidR="00365AAD">
        <w:t>shall</w:t>
      </w:r>
      <w:r>
        <w:t xml:space="preserve"> have effect as if incorporated into the </w:t>
      </w:r>
      <w:r w:rsidR="0046197D">
        <w:t>I</w:t>
      </w:r>
      <w:r w:rsidR="00365AAD">
        <w:t xml:space="preserve">ntegrated Care Board’s </w:t>
      </w:r>
      <w:r w:rsidR="00E83817">
        <w:t xml:space="preserve">(ICB) </w:t>
      </w:r>
      <w:r w:rsidR="00365AAD" w:rsidRPr="00637C6A">
        <w:rPr>
          <w:color w:val="auto"/>
        </w:rPr>
        <w:t>constitution</w:t>
      </w:r>
      <w:r w:rsidR="00761A9C" w:rsidRPr="00637C6A">
        <w:rPr>
          <w:color w:val="auto"/>
        </w:rPr>
        <w:t xml:space="preserve"> and Governance Handbook</w:t>
      </w:r>
      <w:r w:rsidRPr="00637C6A">
        <w:rPr>
          <w:color w:val="auto"/>
        </w:rPr>
        <w:t>.</w:t>
      </w:r>
      <w:r w:rsidR="00365AAD" w:rsidRPr="00637C6A">
        <w:rPr>
          <w:color w:val="auto"/>
        </w:rPr>
        <w:t xml:space="preserve"> </w:t>
      </w:r>
      <w:r w:rsidR="00B1098A">
        <w:t xml:space="preserve">In accordance with the </w:t>
      </w:r>
      <w:r w:rsidR="00BF117D">
        <w:t xml:space="preserve">National Health Service Act 2006, as amended by the Health and Care Act </w:t>
      </w:r>
      <w:r w:rsidR="00BF117D" w:rsidRPr="00BF117D">
        <w:t>2022</w:t>
      </w:r>
      <w:r w:rsidR="00E74147" w:rsidRPr="007166D7">
        <w:t>, the</w:t>
      </w:r>
      <w:r w:rsidR="00E74147">
        <w:t xml:space="preserve"> ICB</w:t>
      </w:r>
      <w:r w:rsidR="00B1098A">
        <w:t xml:space="preserve"> must publish its constitution.</w:t>
      </w:r>
    </w:p>
    <w:p w14:paraId="419DE17B" w14:textId="35D065D5" w:rsidR="0078545D" w:rsidRDefault="0078545D" w:rsidP="0070678C">
      <w:pPr>
        <w:pStyle w:val="Heading3Numbered"/>
      </w:pPr>
      <w:r>
        <w:t xml:space="preserve">In accordance with the </w:t>
      </w:r>
      <w:r w:rsidR="00BF117D">
        <w:t>Act as amended</w:t>
      </w:r>
      <w:r w:rsidR="005F5DCB" w:rsidRPr="007166D7">
        <w:t>, NHS</w:t>
      </w:r>
      <w:r w:rsidR="005F5DCB">
        <w:t xml:space="preserve"> England is mandated to publish guidance for </w:t>
      </w:r>
      <w:r w:rsidR="00CB518F">
        <w:t>ICBs</w:t>
      </w:r>
      <w:r w:rsidR="005F5DCB">
        <w:t xml:space="preserve">, to </w:t>
      </w:r>
      <w:r w:rsidR="00CD5337">
        <w:t>which each</w:t>
      </w:r>
      <w:r w:rsidR="005F5DCB">
        <w:t xml:space="preserve"> </w:t>
      </w:r>
      <w:r w:rsidR="00CB518F">
        <w:t>ICB</w:t>
      </w:r>
      <w:r w:rsidR="005F5DCB">
        <w:t xml:space="preserve"> must have regard, </w:t>
      </w:r>
      <w:proofErr w:type="gramStart"/>
      <w:r w:rsidR="005F5DCB">
        <w:t xml:space="preserve">in order </w:t>
      </w:r>
      <w:r w:rsidR="00CD5337">
        <w:t>to</w:t>
      </w:r>
      <w:proofErr w:type="gramEnd"/>
      <w:r w:rsidR="00CD5337">
        <w:t xml:space="preserve"> discharge</w:t>
      </w:r>
      <w:r w:rsidR="005F5DCB">
        <w:t xml:space="preserve"> their duties. </w:t>
      </w:r>
    </w:p>
    <w:p w14:paraId="4355A61E" w14:textId="44C68829" w:rsidR="002475B2" w:rsidRDefault="00365AAD" w:rsidP="0070678C">
      <w:pPr>
        <w:pStyle w:val="Heading3Numbered"/>
      </w:pPr>
      <w:r>
        <w:t xml:space="preserve">The </w:t>
      </w:r>
      <w:r w:rsidR="004F2BA1" w:rsidRPr="004F2BA1">
        <w:t>purpose of this</w:t>
      </w:r>
      <w:r>
        <w:t xml:space="preserve"> governance document is to ensure that the ICB fulfils its statutory duty to carry out its functions </w:t>
      </w:r>
      <w:r w:rsidR="004C1437">
        <w:t xml:space="preserve">effectively, </w:t>
      </w:r>
      <w:r w:rsidR="00767381">
        <w:t>efficiently,</w:t>
      </w:r>
      <w:r>
        <w:t xml:space="preserve"> and economically.</w:t>
      </w:r>
      <w:r w:rsidR="006B1894">
        <w:t xml:space="preserve"> The </w:t>
      </w:r>
      <w:r w:rsidR="00CB518F">
        <w:t>SFIs</w:t>
      </w:r>
      <w:r w:rsidR="006B1894">
        <w:t xml:space="preserve"> are part of the ICB’s control environment for managing the organisation’s financial affairs</w:t>
      </w:r>
      <w:r w:rsidR="002475B2">
        <w:t xml:space="preserve"> as they are designed to ensure regularity and propriety of financial transactions. </w:t>
      </w:r>
    </w:p>
    <w:p w14:paraId="519D7C17" w14:textId="4195EB24" w:rsidR="00365AAD" w:rsidRDefault="002475B2" w:rsidP="0070678C">
      <w:pPr>
        <w:pStyle w:val="Heading3Numbered"/>
      </w:pPr>
      <w:r>
        <w:t xml:space="preserve">SFIs define the purpose, responsibilities, legal framework and operating environment of the ICB. </w:t>
      </w:r>
      <w:r w:rsidR="006B1894">
        <w:t xml:space="preserve">They enable sound administration, lessen the risk of irregularities and support commissioning and delivery of effective, </w:t>
      </w:r>
      <w:r w:rsidR="00767381">
        <w:t>efficient,</w:t>
      </w:r>
      <w:r w:rsidR="006B1894">
        <w:t xml:space="preserve"> and economical services.</w:t>
      </w:r>
    </w:p>
    <w:p w14:paraId="31E0FDBE" w14:textId="0D1905BA" w:rsidR="00E83817" w:rsidRDefault="00DF7DA6" w:rsidP="0070678C">
      <w:pPr>
        <w:pStyle w:val="Heading3Numbered"/>
      </w:pPr>
      <w:r>
        <w:t xml:space="preserve">The </w:t>
      </w:r>
      <w:r w:rsidR="00CB518F">
        <w:t>ICB</w:t>
      </w:r>
      <w:r w:rsidR="00E83817">
        <w:t xml:space="preserve"> is established under Chapter A3 of Part </w:t>
      </w:r>
      <w:r w:rsidR="006B1894">
        <w:t xml:space="preserve">2 of the </w:t>
      </w:r>
      <w:r w:rsidR="00BF117D" w:rsidRPr="00BF117D">
        <w:t>Nati</w:t>
      </w:r>
      <w:r w:rsidR="00BF117D" w:rsidRPr="00700833">
        <w:t>on</w:t>
      </w:r>
      <w:r w:rsidR="00BF117D" w:rsidRPr="007166D7">
        <w:t xml:space="preserve">al Health Service Act 2006, as inserted by the Health and Care Act 2022 </w:t>
      </w:r>
      <w:r w:rsidR="00B1098A">
        <w:t>and</w:t>
      </w:r>
      <w:r w:rsidR="00AE45DB">
        <w:t xml:space="preserve"> has</w:t>
      </w:r>
      <w:r w:rsidR="00E83817">
        <w:t xml:space="preserve"> the </w:t>
      </w:r>
      <w:r w:rsidR="00BF117D">
        <w:t xml:space="preserve">general </w:t>
      </w:r>
      <w:r w:rsidR="00E83817">
        <w:t>function of arranging for the provision of services for the purposes of the health service</w:t>
      </w:r>
      <w:r w:rsidR="006B1894">
        <w:t>s</w:t>
      </w:r>
      <w:r w:rsidR="00E83817">
        <w:t xml:space="preserve"> in England</w:t>
      </w:r>
      <w:r w:rsidR="00BF117D">
        <w:t xml:space="preserve"> in accordance with the Act</w:t>
      </w:r>
      <w:r w:rsidR="00E83817">
        <w:t>.</w:t>
      </w:r>
    </w:p>
    <w:p w14:paraId="06698E71" w14:textId="7F831967" w:rsidR="00365AAD" w:rsidRDefault="0011749E" w:rsidP="0070678C">
      <w:pPr>
        <w:pStyle w:val="Heading3Numbered"/>
      </w:pPr>
      <w:r>
        <w:t xml:space="preserve">Each </w:t>
      </w:r>
      <w:r w:rsidR="00CB518F">
        <w:t>ICB</w:t>
      </w:r>
      <w:r>
        <w:t xml:space="preserve"> is established by order </w:t>
      </w:r>
      <w:r w:rsidRPr="004C1437">
        <w:t>made by NHS England for an area within England</w:t>
      </w:r>
      <w:r w:rsidRPr="00DC7174">
        <w:t xml:space="preserve">, </w:t>
      </w:r>
      <w:r w:rsidR="00AE45DB" w:rsidRPr="00DC7174">
        <w:t>the order</w:t>
      </w:r>
      <w:r w:rsidRPr="00DC7174">
        <w:t xml:space="preserve"> establishing</w:t>
      </w:r>
      <w:r>
        <w:t xml:space="preserve"> an </w:t>
      </w:r>
      <w:r w:rsidR="00CB518F">
        <w:t>ICB</w:t>
      </w:r>
      <w:r>
        <w:t xml:space="preserve"> makes provision for the constitution of the</w:t>
      </w:r>
      <w:r w:rsidR="00BF117D">
        <w:t xml:space="preserve"> ICB</w:t>
      </w:r>
      <w:r w:rsidR="006B1894">
        <w:t>.</w:t>
      </w:r>
    </w:p>
    <w:p w14:paraId="6366A2CB" w14:textId="61D1AF19" w:rsidR="00A85060" w:rsidRDefault="00A85060" w:rsidP="0070678C">
      <w:pPr>
        <w:pStyle w:val="Heading3Numbered"/>
      </w:pPr>
      <w:r>
        <w:t xml:space="preserve">All </w:t>
      </w:r>
      <w:r w:rsidR="002475B2">
        <w:t>m</w:t>
      </w:r>
      <w:r>
        <w:t>embers</w:t>
      </w:r>
      <w:r w:rsidR="002475B2">
        <w:t xml:space="preserve"> of the ICB</w:t>
      </w:r>
      <w:r w:rsidR="00300FAB">
        <w:t xml:space="preserve">, </w:t>
      </w:r>
      <w:r w:rsidR="00BF117D">
        <w:t xml:space="preserve">its </w:t>
      </w:r>
      <w:r w:rsidR="00B6612B">
        <w:t>B</w:t>
      </w:r>
      <w:r w:rsidR="002475B2">
        <w:t>oard</w:t>
      </w:r>
      <w:r w:rsidR="00300FAB">
        <w:t>,</w:t>
      </w:r>
      <w:r>
        <w:t xml:space="preserve"> and all</w:t>
      </w:r>
      <w:r w:rsidR="002475B2">
        <w:t xml:space="preserve"> other</w:t>
      </w:r>
      <w:r>
        <w:t xml:space="preserve"> </w:t>
      </w:r>
      <w:r w:rsidR="00335708">
        <w:t>o</w:t>
      </w:r>
      <w:r>
        <w:t xml:space="preserve">fficers should be aware of the existence of these documents and be familiar with their detailed provisions. </w:t>
      </w:r>
      <w:r w:rsidR="002475B2">
        <w:t xml:space="preserve">The ICB </w:t>
      </w:r>
      <w:r>
        <w:t xml:space="preserve">SFIs will be made available to all </w:t>
      </w:r>
      <w:r w:rsidR="00335708">
        <w:t>o</w:t>
      </w:r>
      <w:r>
        <w:t xml:space="preserve">fficers on </w:t>
      </w:r>
      <w:r w:rsidRPr="00266865">
        <w:rPr>
          <w:color w:val="auto"/>
        </w:rPr>
        <w:t xml:space="preserve">the </w:t>
      </w:r>
      <w:hyperlink r:id="rId19" w:history="1">
        <w:r w:rsidR="00F16C8C" w:rsidRPr="00266865">
          <w:rPr>
            <w:color w:val="auto"/>
          </w:rPr>
          <w:t>intranet</w:t>
        </w:r>
      </w:hyperlink>
      <w:r w:rsidR="0032611D" w:rsidRPr="00266865">
        <w:rPr>
          <w:color w:val="auto"/>
        </w:rPr>
        <w:t xml:space="preserve"> </w:t>
      </w:r>
      <w:r w:rsidRPr="00266865">
        <w:rPr>
          <w:color w:val="auto"/>
        </w:rPr>
        <w:t xml:space="preserve">and </w:t>
      </w:r>
      <w:r>
        <w:t>internet website</w:t>
      </w:r>
      <w:r w:rsidRPr="00AE7F87">
        <w:rPr>
          <w:color w:val="auto"/>
        </w:rPr>
        <w:t>.</w:t>
      </w:r>
    </w:p>
    <w:p w14:paraId="73804067" w14:textId="08FBE4CC" w:rsidR="00A85060" w:rsidRDefault="00A85060" w:rsidP="0070678C">
      <w:pPr>
        <w:pStyle w:val="Heading3Numbered"/>
      </w:pPr>
      <w:r>
        <w:t>Should any difficulties arise regarding the interpretation or application of any of these S</w:t>
      </w:r>
      <w:r w:rsidR="00282710">
        <w:t>FIs</w:t>
      </w:r>
      <w:r>
        <w:t xml:space="preserve">, the advice of the </w:t>
      </w:r>
      <w:r w:rsidR="00761A9C">
        <w:t>C</w:t>
      </w:r>
      <w:r w:rsidR="00282710">
        <w:t xml:space="preserve">hief </w:t>
      </w:r>
      <w:r w:rsidR="00761A9C">
        <w:t>E</w:t>
      </w:r>
      <w:r w:rsidR="00282710">
        <w:t xml:space="preserve">xecutive </w:t>
      </w:r>
      <w:r w:rsidR="0032611D" w:rsidRPr="00FC02FE">
        <w:t>Officer</w:t>
      </w:r>
      <w:r w:rsidR="0032611D" w:rsidRPr="0032611D">
        <w:rPr>
          <w:color w:val="FF0000"/>
        </w:rPr>
        <w:t xml:space="preserve"> </w:t>
      </w:r>
      <w:r w:rsidR="00282710">
        <w:t>or</w:t>
      </w:r>
      <w:r>
        <w:t xml:space="preserve"> the </w:t>
      </w:r>
      <w:r w:rsidR="00220CAE">
        <w:t>Chief Finance Officer</w:t>
      </w:r>
      <w:r w:rsidR="00282710">
        <w:t xml:space="preserve"> must </w:t>
      </w:r>
      <w:r>
        <w:t xml:space="preserve">be sought before acting. </w:t>
      </w:r>
    </w:p>
    <w:p w14:paraId="48719BC7" w14:textId="375E79D2" w:rsidR="007D0F33" w:rsidRDefault="00A85060" w:rsidP="0070678C">
      <w:pPr>
        <w:pStyle w:val="Heading3Numbered"/>
      </w:pPr>
      <w:r>
        <w:t xml:space="preserve">Failure to comply </w:t>
      </w:r>
      <w:r w:rsidR="00282710">
        <w:t>with the</w:t>
      </w:r>
      <w:r>
        <w:t xml:space="preserve"> </w:t>
      </w:r>
      <w:r w:rsidR="00282710">
        <w:t>SFIs may</w:t>
      </w:r>
      <w:r>
        <w:t xml:space="preserve"> result in disciplinary action in accordance with the </w:t>
      </w:r>
      <w:r w:rsidR="00282710">
        <w:t>ICBs applicable</w:t>
      </w:r>
      <w:r>
        <w:t xml:space="preserve"> disciplinary policy and procedure in operation at that time.</w:t>
      </w:r>
    </w:p>
    <w:p w14:paraId="457FC22B" w14:textId="0D65A7B7" w:rsidR="0072512C" w:rsidRPr="00CC12DF" w:rsidRDefault="00292C02" w:rsidP="004C1E2A">
      <w:pPr>
        <w:pStyle w:val="Heading1Numbered"/>
        <w:ind w:left="0"/>
        <w:rPr>
          <w:color w:val="002060"/>
          <w:sz w:val="52"/>
          <w:szCs w:val="24"/>
        </w:rPr>
      </w:pPr>
      <w:bookmarkStart w:id="1" w:name="_Toc230249745"/>
      <w:r w:rsidRPr="00CC12DF">
        <w:rPr>
          <w:color w:val="002060"/>
          <w:sz w:val="52"/>
          <w:szCs w:val="24"/>
        </w:rPr>
        <w:lastRenderedPageBreak/>
        <w:t>Scope</w:t>
      </w:r>
      <w:bookmarkEnd w:id="1"/>
    </w:p>
    <w:p w14:paraId="38C72B54" w14:textId="7186747F" w:rsidR="009A670A" w:rsidRDefault="00282710" w:rsidP="0070678C">
      <w:pPr>
        <w:pStyle w:val="Heading3Numbered"/>
      </w:pPr>
      <w:r>
        <w:t xml:space="preserve">All </w:t>
      </w:r>
      <w:r w:rsidR="009A670A">
        <w:t>officers of</w:t>
      </w:r>
      <w:r>
        <w:t xml:space="preserve"> </w:t>
      </w:r>
      <w:r w:rsidR="009A670A">
        <w:t xml:space="preserve">the </w:t>
      </w:r>
      <w:r>
        <w:t>ICB</w:t>
      </w:r>
      <w:r w:rsidR="009A670A">
        <w:t>,</w:t>
      </w:r>
      <w:r>
        <w:t xml:space="preserve"> without exception, are within the scope of the </w:t>
      </w:r>
      <w:r w:rsidR="009A670A">
        <w:t>SFIs without</w:t>
      </w:r>
      <w:r>
        <w:t xml:space="preserve"> limitation. </w:t>
      </w:r>
      <w:r w:rsidR="009A670A">
        <w:t xml:space="preserve">The term officer includes, </w:t>
      </w:r>
      <w:r w:rsidR="009A670A" w:rsidRPr="00637C6A">
        <w:rPr>
          <w:color w:val="auto"/>
        </w:rPr>
        <w:t xml:space="preserve">permanent employees, </w:t>
      </w:r>
      <w:r w:rsidR="005A3A86" w:rsidRPr="00637C6A">
        <w:rPr>
          <w:color w:val="auto"/>
        </w:rPr>
        <w:t xml:space="preserve">fixed term contract employees, </w:t>
      </w:r>
      <w:r w:rsidR="009A670A" w:rsidRPr="00637C6A">
        <w:rPr>
          <w:color w:val="auto"/>
        </w:rPr>
        <w:t>secondees</w:t>
      </w:r>
      <w:r w:rsidR="00761A9C" w:rsidRPr="00637C6A">
        <w:rPr>
          <w:color w:val="auto"/>
        </w:rPr>
        <w:t>, agency</w:t>
      </w:r>
      <w:r w:rsidR="009A670A" w:rsidRPr="00637C6A">
        <w:rPr>
          <w:color w:val="auto"/>
        </w:rPr>
        <w:t xml:space="preserve"> and contract workers.  </w:t>
      </w:r>
    </w:p>
    <w:p w14:paraId="0FC7A471" w14:textId="77777777" w:rsidR="009A670A" w:rsidRDefault="00282710" w:rsidP="0070678C">
      <w:pPr>
        <w:pStyle w:val="Heading3Numbered"/>
      </w:pPr>
      <w:r>
        <w:t>Within this document, words imparting any gender include any other gender. Words in the singular include the plural and words in the plural include the singular.</w:t>
      </w:r>
    </w:p>
    <w:p w14:paraId="139DBD98" w14:textId="739EF631" w:rsidR="00282710" w:rsidRDefault="00282710" w:rsidP="0070678C">
      <w:pPr>
        <w:pStyle w:val="Heading3Numbered"/>
      </w:pPr>
      <w:r>
        <w:t xml:space="preserve">Any reference to an enactment is a reference to that enactment as amended. </w:t>
      </w:r>
    </w:p>
    <w:p w14:paraId="79D4B765" w14:textId="75863933" w:rsidR="00282710" w:rsidRPr="007166D7" w:rsidRDefault="00282710" w:rsidP="0070678C">
      <w:pPr>
        <w:pStyle w:val="Heading3Numbered"/>
      </w:pPr>
      <w:r w:rsidRPr="0079085D">
        <w:t>Unless</w:t>
      </w:r>
      <w:r>
        <w:t xml:space="preserve"> a contrary intention is evident, or the context requires otherwise, words or expressions contained in this document, will have the same meaning as set out in the </w:t>
      </w:r>
      <w:r w:rsidRPr="00BF117D">
        <w:t xml:space="preserve">applicable </w:t>
      </w:r>
      <w:r w:rsidRPr="007166D7">
        <w:t>Act</w:t>
      </w:r>
      <w:r w:rsidR="009A670A" w:rsidRPr="007166D7">
        <w:t>.</w:t>
      </w:r>
    </w:p>
    <w:p w14:paraId="697C39F4" w14:textId="5FEB2864" w:rsidR="00DE50F1" w:rsidRDefault="00DE50F1" w:rsidP="007D0F33">
      <w:pPr>
        <w:pStyle w:val="BodyText"/>
      </w:pPr>
    </w:p>
    <w:p w14:paraId="5B797EAF" w14:textId="57772435" w:rsidR="00DE50F1" w:rsidRDefault="00DE50F1" w:rsidP="007D0F33">
      <w:pPr>
        <w:pStyle w:val="BodyText"/>
      </w:pPr>
    </w:p>
    <w:p w14:paraId="10B4ED7B" w14:textId="2FA64C56" w:rsidR="00DE50F1" w:rsidRDefault="00DE50F1" w:rsidP="007D0F33">
      <w:pPr>
        <w:pStyle w:val="BodyText"/>
      </w:pPr>
    </w:p>
    <w:p w14:paraId="19CB4F1E" w14:textId="582E16E3" w:rsidR="00DE50F1" w:rsidRDefault="00DE50F1" w:rsidP="007D0F33">
      <w:pPr>
        <w:pStyle w:val="BodyText"/>
      </w:pPr>
    </w:p>
    <w:p w14:paraId="7B30F6C0" w14:textId="2EB3C365" w:rsidR="00DE50F1" w:rsidRDefault="00DE50F1" w:rsidP="007D0F33">
      <w:pPr>
        <w:pStyle w:val="BodyText"/>
      </w:pPr>
    </w:p>
    <w:p w14:paraId="415BB9C1" w14:textId="42032BFC" w:rsidR="00DE50F1" w:rsidRDefault="00DE50F1" w:rsidP="007D0F33">
      <w:pPr>
        <w:pStyle w:val="BodyText"/>
      </w:pPr>
    </w:p>
    <w:p w14:paraId="0EBB4BAD" w14:textId="60D2E1A5" w:rsidR="00DE50F1" w:rsidRDefault="00DE50F1" w:rsidP="007D0F33">
      <w:pPr>
        <w:pStyle w:val="BodyText"/>
      </w:pPr>
    </w:p>
    <w:p w14:paraId="15275D4C" w14:textId="3CBA4389" w:rsidR="00DE50F1" w:rsidRDefault="00DE50F1" w:rsidP="007D0F33">
      <w:pPr>
        <w:pStyle w:val="BodyText"/>
      </w:pPr>
    </w:p>
    <w:p w14:paraId="50BDC592" w14:textId="73B5A43D" w:rsidR="00DE50F1" w:rsidRDefault="00DE50F1" w:rsidP="007D0F33">
      <w:pPr>
        <w:pStyle w:val="BodyText"/>
      </w:pPr>
    </w:p>
    <w:p w14:paraId="1A6AAA34" w14:textId="37853886" w:rsidR="00DE50F1" w:rsidRDefault="00DE50F1" w:rsidP="007D0F33">
      <w:pPr>
        <w:pStyle w:val="BodyText"/>
      </w:pPr>
    </w:p>
    <w:p w14:paraId="0CD641F4" w14:textId="0E8CF8D8" w:rsidR="00DE50F1" w:rsidRDefault="00DE50F1" w:rsidP="007D0F33">
      <w:pPr>
        <w:pStyle w:val="BodyText"/>
      </w:pPr>
    </w:p>
    <w:p w14:paraId="513331D0" w14:textId="42F4F338" w:rsidR="00DE50F1" w:rsidRDefault="00DE50F1" w:rsidP="007D0F33">
      <w:pPr>
        <w:pStyle w:val="BodyText"/>
      </w:pPr>
    </w:p>
    <w:p w14:paraId="56E590EC" w14:textId="002C1C59" w:rsidR="0072512C" w:rsidRPr="00CC12DF" w:rsidRDefault="0072512C" w:rsidP="004C1E2A">
      <w:pPr>
        <w:pStyle w:val="Heading1Numbered"/>
        <w:ind w:left="0"/>
        <w:rPr>
          <w:color w:val="002060"/>
          <w:sz w:val="52"/>
          <w:szCs w:val="24"/>
        </w:rPr>
      </w:pPr>
      <w:bookmarkStart w:id="2" w:name="_Toc230249746"/>
      <w:r w:rsidRPr="00CC12DF">
        <w:rPr>
          <w:color w:val="002060"/>
          <w:sz w:val="52"/>
          <w:szCs w:val="24"/>
        </w:rPr>
        <w:lastRenderedPageBreak/>
        <w:t>Roles and</w:t>
      </w:r>
      <w:r w:rsidR="00F16C8C" w:rsidRPr="00CC12DF">
        <w:rPr>
          <w:color w:val="002060"/>
          <w:sz w:val="52"/>
          <w:szCs w:val="24"/>
        </w:rPr>
        <w:t xml:space="preserve"> </w:t>
      </w:r>
      <w:r w:rsidRPr="00CC12DF">
        <w:rPr>
          <w:color w:val="002060"/>
          <w:sz w:val="52"/>
          <w:szCs w:val="24"/>
        </w:rPr>
        <w:t>Responsibilities</w:t>
      </w:r>
      <w:bookmarkEnd w:id="2"/>
    </w:p>
    <w:p w14:paraId="3E6C4E91" w14:textId="241FB1DE" w:rsidR="00267006" w:rsidRPr="00F16C8C" w:rsidRDefault="00267006" w:rsidP="00171ABE">
      <w:pPr>
        <w:pStyle w:val="Heading2Numbered"/>
        <w:ind w:left="0"/>
        <w:rPr>
          <w:color w:val="002060"/>
        </w:rPr>
      </w:pPr>
      <w:bookmarkStart w:id="3" w:name="_Toc230249747"/>
      <w:r w:rsidRPr="00F16C8C">
        <w:rPr>
          <w:color w:val="002060"/>
        </w:rPr>
        <w:t>Staff</w:t>
      </w:r>
      <w:bookmarkEnd w:id="3"/>
      <w:r w:rsidRPr="00F16C8C">
        <w:rPr>
          <w:color w:val="002060"/>
        </w:rPr>
        <w:t xml:space="preserve"> </w:t>
      </w:r>
    </w:p>
    <w:p w14:paraId="2B41900D" w14:textId="49B81684" w:rsidR="009A670A" w:rsidRDefault="009A670A" w:rsidP="0070678C">
      <w:pPr>
        <w:pStyle w:val="Heading3Numbered"/>
      </w:pPr>
      <w:r>
        <w:t xml:space="preserve">All ICB </w:t>
      </w:r>
      <w:r w:rsidR="00335708">
        <w:t>o</w:t>
      </w:r>
      <w:r>
        <w:t>fficers are severally and collectively, responsible to their respective employer(s) for</w:t>
      </w:r>
      <w:r w:rsidR="00CA3FC1">
        <w:t>:</w:t>
      </w:r>
      <w:r>
        <w:t xml:space="preserve"> </w:t>
      </w:r>
    </w:p>
    <w:p w14:paraId="0A9F45ED" w14:textId="77777777" w:rsidR="009A670A" w:rsidRDefault="009A670A" w:rsidP="009A670A">
      <w:pPr>
        <w:pStyle w:val="Default"/>
        <w:rPr>
          <w:sz w:val="22"/>
          <w:szCs w:val="22"/>
        </w:rPr>
      </w:pPr>
    </w:p>
    <w:p w14:paraId="0D4018BE" w14:textId="36A6A1A4" w:rsidR="009A670A" w:rsidRDefault="009A670A" w:rsidP="0040233D">
      <w:pPr>
        <w:pStyle w:val="Default"/>
        <w:numPr>
          <w:ilvl w:val="0"/>
          <w:numId w:val="6"/>
        </w:numPr>
        <w:rPr>
          <w:sz w:val="22"/>
          <w:szCs w:val="22"/>
        </w:rPr>
      </w:pPr>
      <w:r>
        <w:rPr>
          <w:sz w:val="22"/>
          <w:szCs w:val="22"/>
        </w:rPr>
        <w:t xml:space="preserve">abiding by all conditions of any delegated authority; </w:t>
      </w:r>
    </w:p>
    <w:p w14:paraId="6F01F894" w14:textId="77777777" w:rsidR="009A670A" w:rsidRDefault="009A670A" w:rsidP="009A670A">
      <w:pPr>
        <w:pStyle w:val="Default"/>
        <w:rPr>
          <w:sz w:val="22"/>
          <w:szCs w:val="22"/>
        </w:rPr>
      </w:pPr>
    </w:p>
    <w:p w14:paraId="39AA3183" w14:textId="42055020" w:rsidR="009A670A" w:rsidRDefault="009A670A" w:rsidP="0040233D">
      <w:pPr>
        <w:pStyle w:val="Default"/>
        <w:numPr>
          <w:ilvl w:val="0"/>
          <w:numId w:val="6"/>
        </w:numPr>
        <w:rPr>
          <w:sz w:val="22"/>
          <w:szCs w:val="22"/>
        </w:rPr>
      </w:pPr>
      <w:r>
        <w:rPr>
          <w:sz w:val="22"/>
          <w:szCs w:val="22"/>
        </w:rPr>
        <w:t xml:space="preserve">the security of the statutory organisations property and avoiding all forms of loss; </w:t>
      </w:r>
    </w:p>
    <w:p w14:paraId="513A5038" w14:textId="77777777" w:rsidR="009A670A" w:rsidRDefault="009A670A" w:rsidP="009A670A">
      <w:pPr>
        <w:pStyle w:val="Default"/>
        <w:rPr>
          <w:sz w:val="22"/>
          <w:szCs w:val="22"/>
        </w:rPr>
      </w:pPr>
    </w:p>
    <w:p w14:paraId="4524682F" w14:textId="616551A2" w:rsidR="009A670A" w:rsidRDefault="009A670A" w:rsidP="0040233D">
      <w:pPr>
        <w:pStyle w:val="Default"/>
        <w:numPr>
          <w:ilvl w:val="0"/>
          <w:numId w:val="6"/>
        </w:numPr>
        <w:rPr>
          <w:sz w:val="22"/>
          <w:szCs w:val="22"/>
        </w:rPr>
      </w:pPr>
      <w:r>
        <w:rPr>
          <w:sz w:val="22"/>
          <w:szCs w:val="22"/>
        </w:rPr>
        <w:t xml:space="preserve">ensuring integrity, accuracy, </w:t>
      </w:r>
      <w:r w:rsidR="00767381">
        <w:rPr>
          <w:sz w:val="22"/>
          <w:szCs w:val="22"/>
        </w:rPr>
        <w:t>probity,</w:t>
      </w:r>
      <w:r>
        <w:rPr>
          <w:sz w:val="22"/>
          <w:szCs w:val="22"/>
        </w:rPr>
        <w:t xml:space="preserve"> and value for money in the use of resources; and </w:t>
      </w:r>
    </w:p>
    <w:p w14:paraId="20BDA5DF" w14:textId="77777777" w:rsidR="009A670A" w:rsidRDefault="009A670A" w:rsidP="009A670A">
      <w:pPr>
        <w:pStyle w:val="Default"/>
        <w:rPr>
          <w:sz w:val="22"/>
          <w:szCs w:val="22"/>
        </w:rPr>
      </w:pPr>
    </w:p>
    <w:p w14:paraId="26912AD7" w14:textId="64C38E1B" w:rsidR="009A670A" w:rsidRDefault="009A670A" w:rsidP="0040233D">
      <w:pPr>
        <w:pStyle w:val="Default"/>
        <w:numPr>
          <w:ilvl w:val="0"/>
          <w:numId w:val="6"/>
        </w:numPr>
        <w:rPr>
          <w:sz w:val="22"/>
          <w:szCs w:val="22"/>
        </w:rPr>
      </w:pPr>
      <w:r>
        <w:rPr>
          <w:sz w:val="22"/>
          <w:szCs w:val="22"/>
        </w:rPr>
        <w:t xml:space="preserve">conforming to the requirements of these SFIs </w:t>
      </w:r>
    </w:p>
    <w:p w14:paraId="72DD3199" w14:textId="77777777" w:rsidR="00F16C8C" w:rsidRDefault="00F16C8C" w:rsidP="00F16C8C">
      <w:pPr>
        <w:pStyle w:val="ListParagraph"/>
        <w:rPr>
          <w:sz w:val="22"/>
          <w:szCs w:val="22"/>
        </w:rPr>
      </w:pPr>
    </w:p>
    <w:p w14:paraId="2B28A734" w14:textId="77777777" w:rsidR="00F16C8C" w:rsidRDefault="00F16C8C" w:rsidP="00F16C8C"/>
    <w:p w14:paraId="41E9D7A9" w14:textId="77777777" w:rsidR="00F16C8C" w:rsidRPr="00F16C8C" w:rsidRDefault="00F16C8C" w:rsidP="0074740C">
      <w:pPr>
        <w:pStyle w:val="ListParagraph"/>
        <w:numPr>
          <w:ilvl w:val="0"/>
          <w:numId w:val="74"/>
        </w:numPr>
        <w:spacing w:line="276" w:lineRule="auto"/>
        <w:rPr>
          <w:vanish/>
          <w:color w:val="auto"/>
        </w:rPr>
      </w:pPr>
    </w:p>
    <w:p w14:paraId="71E56139" w14:textId="77777777" w:rsidR="00F16C8C" w:rsidRPr="00F16C8C" w:rsidRDefault="00F16C8C" w:rsidP="0074740C">
      <w:pPr>
        <w:pStyle w:val="ListParagraph"/>
        <w:numPr>
          <w:ilvl w:val="0"/>
          <w:numId w:val="74"/>
        </w:numPr>
        <w:spacing w:line="276" w:lineRule="auto"/>
        <w:rPr>
          <w:vanish/>
          <w:color w:val="auto"/>
        </w:rPr>
      </w:pPr>
    </w:p>
    <w:p w14:paraId="466667B9" w14:textId="77777777" w:rsidR="00F16C8C" w:rsidRPr="00F16C8C" w:rsidRDefault="00F16C8C" w:rsidP="0074740C">
      <w:pPr>
        <w:pStyle w:val="ListParagraph"/>
        <w:numPr>
          <w:ilvl w:val="0"/>
          <w:numId w:val="74"/>
        </w:numPr>
        <w:spacing w:line="276" w:lineRule="auto"/>
        <w:rPr>
          <w:vanish/>
          <w:color w:val="auto"/>
        </w:rPr>
      </w:pPr>
    </w:p>
    <w:p w14:paraId="3835425A" w14:textId="77777777" w:rsidR="00F16C8C" w:rsidRPr="00F16C8C" w:rsidRDefault="00F16C8C" w:rsidP="0074740C">
      <w:pPr>
        <w:pStyle w:val="ListParagraph"/>
        <w:numPr>
          <w:ilvl w:val="1"/>
          <w:numId w:val="74"/>
        </w:numPr>
        <w:spacing w:line="276" w:lineRule="auto"/>
        <w:rPr>
          <w:vanish/>
          <w:color w:val="auto"/>
        </w:rPr>
      </w:pPr>
    </w:p>
    <w:p w14:paraId="0BA8A479" w14:textId="77777777" w:rsidR="00F16C8C" w:rsidRPr="00F16C8C" w:rsidRDefault="00F16C8C" w:rsidP="0074740C">
      <w:pPr>
        <w:pStyle w:val="ListParagraph"/>
        <w:numPr>
          <w:ilvl w:val="1"/>
          <w:numId w:val="74"/>
        </w:numPr>
        <w:spacing w:line="276" w:lineRule="auto"/>
        <w:rPr>
          <w:vanish/>
          <w:color w:val="auto"/>
        </w:rPr>
      </w:pPr>
    </w:p>
    <w:p w14:paraId="51A3343B" w14:textId="1F0D2E56" w:rsidR="00F16C8C" w:rsidRPr="00F16C8C" w:rsidRDefault="00F16C8C" w:rsidP="0074740C">
      <w:pPr>
        <w:pStyle w:val="ListParagraph"/>
        <w:numPr>
          <w:ilvl w:val="2"/>
          <w:numId w:val="74"/>
        </w:numPr>
        <w:spacing w:line="276" w:lineRule="auto"/>
        <w:ind w:left="504"/>
        <w:rPr>
          <w:color w:val="auto"/>
        </w:rPr>
      </w:pPr>
      <w:r w:rsidRPr="00F16C8C">
        <w:rPr>
          <w:color w:val="auto"/>
        </w:rPr>
        <w:t xml:space="preserve">For </w:t>
      </w:r>
      <w:proofErr w:type="gramStart"/>
      <w:r w:rsidRPr="00F16C8C">
        <w:rPr>
          <w:color w:val="auto"/>
        </w:rPr>
        <w:t>any and all</w:t>
      </w:r>
      <w:proofErr w:type="gramEnd"/>
      <w:r w:rsidRPr="00F16C8C">
        <w:rPr>
          <w:color w:val="auto"/>
        </w:rPr>
        <w:t xml:space="preserve"> Directors and employees who carry out a financial function, the form in which financial records are kept and the </w:t>
      </w:r>
      <w:proofErr w:type="gramStart"/>
      <w:r w:rsidRPr="00F16C8C">
        <w:rPr>
          <w:color w:val="auto"/>
        </w:rPr>
        <w:t>manner in which</w:t>
      </w:r>
      <w:proofErr w:type="gramEnd"/>
      <w:r w:rsidRPr="00F16C8C">
        <w:rPr>
          <w:color w:val="auto"/>
        </w:rPr>
        <w:t xml:space="preserve"> directors and employees discharge their duties must be to the satisfaction of the Chief Finance Officer</w:t>
      </w:r>
    </w:p>
    <w:p w14:paraId="33980ECF" w14:textId="77777777" w:rsidR="00F16C8C" w:rsidRDefault="00F16C8C" w:rsidP="00F16C8C">
      <w:pPr>
        <w:pStyle w:val="Default"/>
        <w:rPr>
          <w:sz w:val="22"/>
          <w:szCs w:val="22"/>
        </w:rPr>
      </w:pPr>
    </w:p>
    <w:p w14:paraId="1BFF38CB" w14:textId="77777777" w:rsidR="00267006" w:rsidRDefault="00267006" w:rsidP="00267006">
      <w:pPr>
        <w:pStyle w:val="ListParagraph"/>
        <w:rPr>
          <w:sz w:val="22"/>
          <w:szCs w:val="22"/>
        </w:rPr>
      </w:pPr>
    </w:p>
    <w:p w14:paraId="20EDD3CC" w14:textId="183E3538" w:rsidR="00B127A7" w:rsidRPr="00F16C8C" w:rsidRDefault="00F16C8C" w:rsidP="00171ABE">
      <w:pPr>
        <w:pStyle w:val="Heading2Numbered"/>
        <w:ind w:left="0"/>
        <w:rPr>
          <w:color w:val="002060"/>
        </w:rPr>
      </w:pPr>
      <w:bookmarkStart w:id="4" w:name="_Toc230249748"/>
      <w:r>
        <w:rPr>
          <w:color w:val="002060"/>
        </w:rPr>
        <w:t>Chief Executive</w:t>
      </w:r>
      <w:bookmarkEnd w:id="4"/>
    </w:p>
    <w:p w14:paraId="7914C6D6" w14:textId="02625161" w:rsidR="0079085D" w:rsidRPr="00637C6A" w:rsidRDefault="0079085D" w:rsidP="0070678C">
      <w:pPr>
        <w:pStyle w:val="Heading3Numbered"/>
        <w:rPr>
          <w:color w:val="auto"/>
          <w:sz w:val="22"/>
          <w:szCs w:val="22"/>
        </w:rPr>
      </w:pPr>
      <w:r>
        <w:t xml:space="preserve">The ICB constitution provides for the appointment of the </w:t>
      </w:r>
      <w:r w:rsidR="0046197D">
        <w:t>C</w:t>
      </w:r>
      <w:r>
        <w:t>h</w:t>
      </w:r>
      <w:r w:rsidR="00453910">
        <w:t>i</w:t>
      </w:r>
      <w:r>
        <w:t xml:space="preserve">ef </w:t>
      </w:r>
      <w:r w:rsidR="0046197D">
        <w:t>E</w:t>
      </w:r>
      <w:r>
        <w:t>xecutive</w:t>
      </w:r>
      <w:r w:rsidR="0046197D">
        <w:t xml:space="preserve"> </w:t>
      </w:r>
      <w:r w:rsidR="0046197D" w:rsidRPr="00FC02FE">
        <w:t>Officer</w:t>
      </w:r>
      <w:r w:rsidR="004C1437" w:rsidRPr="00FC02FE">
        <w:t xml:space="preserve"> </w:t>
      </w:r>
      <w:r>
        <w:t xml:space="preserve">by the ICB chair. </w:t>
      </w:r>
      <w:r w:rsidR="00335708">
        <w:t xml:space="preserve"> </w:t>
      </w:r>
      <w:r>
        <w:t xml:space="preserve">The </w:t>
      </w:r>
      <w:r w:rsidR="0046197D">
        <w:t>C</w:t>
      </w:r>
      <w:r>
        <w:t xml:space="preserve">hief </w:t>
      </w:r>
      <w:r w:rsidR="0046197D">
        <w:t>E</w:t>
      </w:r>
      <w:r>
        <w:t xml:space="preserve">xecutive </w:t>
      </w:r>
      <w:r w:rsidR="0046197D" w:rsidRPr="00FC02FE">
        <w:t>Officer</w:t>
      </w:r>
      <w:r w:rsidR="0046197D" w:rsidRPr="0046197D">
        <w:rPr>
          <w:color w:val="FF0000"/>
        </w:rPr>
        <w:t xml:space="preserve"> </w:t>
      </w:r>
      <w:r>
        <w:t xml:space="preserve">is the </w:t>
      </w:r>
      <w:r w:rsidR="00F16C8C">
        <w:rPr>
          <w:color w:val="auto"/>
        </w:rPr>
        <w:t>Chief Executive</w:t>
      </w:r>
      <w:r w:rsidRPr="00637C6A">
        <w:rPr>
          <w:color w:val="auto"/>
        </w:rPr>
        <w:t xml:space="preserve"> for the ICB and is personally accountable to</w:t>
      </w:r>
      <w:r w:rsidRPr="00637C6A">
        <w:rPr>
          <w:color w:val="auto"/>
          <w:sz w:val="22"/>
          <w:szCs w:val="22"/>
        </w:rPr>
        <w:t xml:space="preserve"> </w:t>
      </w:r>
      <w:r w:rsidRPr="00637C6A">
        <w:rPr>
          <w:color w:val="auto"/>
        </w:rPr>
        <w:t xml:space="preserve">NHS England for the stewardship of </w:t>
      </w:r>
      <w:r w:rsidR="00761A9C" w:rsidRPr="00637C6A">
        <w:rPr>
          <w:color w:val="auto"/>
        </w:rPr>
        <w:t xml:space="preserve">the </w:t>
      </w:r>
      <w:r w:rsidRPr="00637C6A">
        <w:rPr>
          <w:color w:val="auto"/>
        </w:rPr>
        <w:t>ICB</w:t>
      </w:r>
      <w:r w:rsidR="00F16C8C">
        <w:rPr>
          <w:color w:val="auto"/>
        </w:rPr>
        <w:t>’</w:t>
      </w:r>
      <w:r w:rsidRPr="00637C6A">
        <w:rPr>
          <w:color w:val="auto"/>
        </w:rPr>
        <w:t>s allocated resources</w:t>
      </w:r>
      <w:r w:rsidRPr="00637C6A">
        <w:rPr>
          <w:color w:val="auto"/>
          <w:sz w:val="22"/>
          <w:szCs w:val="22"/>
        </w:rPr>
        <w:t>.</w:t>
      </w:r>
    </w:p>
    <w:p w14:paraId="6E2EA8F0" w14:textId="3EFFE929" w:rsidR="00587FA1" w:rsidRDefault="0071719B" w:rsidP="0070678C">
      <w:pPr>
        <w:pStyle w:val="Heading3Numbered"/>
      </w:pPr>
      <w:r w:rsidRPr="00637C6A">
        <w:t xml:space="preserve"> </w:t>
      </w:r>
      <w:r w:rsidR="00587FA1" w:rsidRPr="00637C6A">
        <w:t xml:space="preserve">The </w:t>
      </w:r>
      <w:r w:rsidR="00220CAE" w:rsidRPr="00637C6A">
        <w:t>Chief Finance Officer</w:t>
      </w:r>
      <w:r w:rsidR="00587FA1" w:rsidRPr="00637C6A">
        <w:t xml:space="preserve"> reports directly to the ICB </w:t>
      </w:r>
      <w:r w:rsidR="00761A9C" w:rsidRPr="00637C6A">
        <w:t>C</w:t>
      </w:r>
      <w:r w:rsidR="00587FA1" w:rsidRPr="00637C6A">
        <w:t xml:space="preserve">hief </w:t>
      </w:r>
      <w:r w:rsidR="00761A9C" w:rsidRPr="00637C6A">
        <w:t>E</w:t>
      </w:r>
      <w:r w:rsidR="00587FA1" w:rsidRPr="00637C6A">
        <w:t xml:space="preserve">xecutive </w:t>
      </w:r>
      <w:r w:rsidR="00761A9C" w:rsidRPr="00637C6A">
        <w:t>O</w:t>
      </w:r>
      <w:r w:rsidR="00587FA1" w:rsidRPr="00637C6A">
        <w:t xml:space="preserve">fficer and is professionally accountable to the NHS </w:t>
      </w:r>
      <w:r w:rsidR="00CA3FC1" w:rsidRPr="00637C6A">
        <w:t>England regional</w:t>
      </w:r>
      <w:r w:rsidR="00587FA1" w:rsidRPr="00637C6A">
        <w:t xml:space="preserve"> finance director</w:t>
      </w:r>
      <w:r w:rsidR="00335708" w:rsidRPr="00637C6A">
        <w:t>.</w:t>
      </w:r>
    </w:p>
    <w:p w14:paraId="3387AD0B" w14:textId="6396A457" w:rsidR="00F16C8C" w:rsidRPr="00F16C8C" w:rsidRDefault="00F16C8C" w:rsidP="0070678C">
      <w:pPr>
        <w:pStyle w:val="Heading3Numbered"/>
        <w:numPr>
          <w:ilvl w:val="0"/>
          <w:numId w:val="0"/>
        </w:numPr>
        <w:ind w:left="720"/>
      </w:pPr>
      <w:r>
        <w:t xml:space="preserve">3.2.3 </w:t>
      </w:r>
      <w:r w:rsidRPr="00F16C8C">
        <w:t>The Chief Executive Officer and Chief Finance Officer will, as far as possible, delegate their detailed responsibilities, but they remain accountable for financial control.</w:t>
      </w:r>
    </w:p>
    <w:p w14:paraId="69D2C47A" w14:textId="77777777" w:rsidR="00F16C8C" w:rsidRDefault="00F16C8C" w:rsidP="00F16C8C">
      <w:pPr>
        <w:pStyle w:val="BodyText"/>
      </w:pPr>
    </w:p>
    <w:p w14:paraId="761E5A8C" w14:textId="77777777" w:rsidR="00F16C8C" w:rsidRPr="00F16C8C" w:rsidRDefault="00F16C8C" w:rsidP="00F16C8C">
      <w:pPr>
        <w:pStyle w:val="BodyText"/>
      </w:pPr>
    </w:p>
    <w:p w14:paraId="22C653D6" w14:textId="3AA0D640" w:rsidR="0079085D" w:rsidRDefault="0079085D" w:rsidP="0074740C">
      <w:pPr>
        <w:pStyle w:val="Heading3Numbered"/>
        <w:numPr>
          <w:ilvl w:val="2"/>
          <w:numId w:val="75"/>
        </w:numPr>
      </w:pPr>
      <w:r w:rsidRPr="00F16C8C">
        <w:lastRenderedPageBreak/>
        <w:t xml:space="preserve">The </w:t>
      </w:r>
      <w:r w:rsidR="0046197D" w:rsidRPr="00F16C8C">
        <w:t>C</w:t>
      </w:r>
      <w:r w:rsidRPr="00F16C8C">
        <w:t xml:space="preserve">hief </w:t>
      </w:r>
      <w:r w:rsidR="0046197D" w:rsidRPr="00F16C8C">
        <w:t>E</w:t>
      </w:r>
      <w:r w:rsidRPr="00F16C8C">
        <w:t xml:space="preserve">xecutive </w:t>
      </w:r>
      <w:r w:rsidR="0046197D" w:rsidRPr="00FC02FE">
        <w:t>Officer</w:t>
      </w:r>
      <w:r w:rsidR="0046197D" w:rsidRPr="0070678C">
        <w:rPr>
          <w:color w:val="FF0000"/>
        </w:rPr>
        <w:t xml:space="preserve"> </w:t>
      </w:r>
      <w:r w:rsidRPr="00F16C8C">
        <w:t>will delegate</w:t>
      </w:r>
      <w:r w:rsidR="003A2F83" w:rsidRPr="00F16C8C">
        <w:t xml:space="preserve"> to the </w:t>
      </w:r>
      <w:r w:rsidR="00220CAE" w:rsidRPr="00F16C8C">
        <w:t>Chief Finance Officer</w:t>
      </w:r>
      <w:r w:rsidR="003A2F83" w:rsidRPr="00F16C8C">
        <w:t xml:space="preserve"> </w:t>
      </w:r>
      <w:r w:rsidR="00295100" w:rsidRPr="00F16C8C">
        <w:t xml:space="preserve">the following </w:t>
      </w:r>
      <w:r w:rsidR="003A2F83" w:rsidRPr="00F16C8C">
        <w:t xml:space="preserve">responsibilities </w:t>
      </w:r>
      <w:r w:rsidR="00FD68E8" w:rsidRPr="00F16C8C">
        <w:t>(see also section 4</w:t>
      </w:r>
      <w:r w:rsidR="00A97244" w:rsidRPr="00F16C8C">
        <w:t xml:space="preserve"> – Annual Reporting and accounts</w:t>
      </w:r>
      <w:r w:rsidR="00FD68E8" w:rsidRPr="00F16C8C">
        <w:t xml:space="preserve">) </w:t>
      </w:r>
      <w:r w:rsidR="00295100">
        <w:t>in relation to the</w:t>
      </w:r>
      <w:r w:rsidR="003A2F83">
        <w:t xml:space="preserve"> ICB</w:t>
      </w:r>
      <w:r w:rsidR="00CA3FC1">
        <w:t>:</w:t>
      </w:r>
    </w:p>
    <w:p w14:paraId="6F765307" w14:textId="16A63757" w:rsidR="003A2F83" w:rsidRDefault="00295100" w:rsidP="00336F62">
      <w:pPr>
        <w:pStyle w:val="BodyTextNoSpacing"/>
        <w:numPr>
          <w:ilvl w:val="0"/>
          <w:numId w:val="7"/>
        </w:numPr>
        <w:spacing w:before="240" w:after="120" w:line="240" w:lineRule="auto"/>
      </w:pPr>
      <w:r>
        <w:t>preparation and audit of annual accounts</w:t>
      </w:r>
      <w:r w:rsidR="00587FA1">
        <w:t>;</w:t>
      </w:r>
    </w:p>
    <w:p w14:paraId="36EB5B05" w14:textId="7288796D" w:rsidR="00295100" w:rsidRDefault="00587FA1" w:rsidP="00336F62">
      <w:pPr>
        <w:pStyle w:val="BodyTextNoSpacing"/>
        <w:numPr>
          <w:ilvl w:val="0"/>
          <w:numId w:val="7"/>
        </w:numPr>
        <w:spacing w:before="240" w:after="120" w:line="240" w:lineRule="auto"/>
      </w:pPr>
      <w:r>
        <w:t>adherence to</w:t>
      </w:r>
      <w:r w:rsidR="00295100">
        <w:t xml:space="preserve"> the directions from NHS England in relation to accounts preparation</w:t>
      </w:r>
      <w:r>
        <w:t>;</w:t>
      </w:r>
    </w:p>
    <w:p w14:paraId="35279ED6" w14:textId="2C59D832" w:rsidR="00070894" w:rsidRDefault="00587FA1" w:rsidP="00336F62">
      <w:pPr>
        <w:pStyle w:val="BodyTextNoSpacing"/>
        <w:numPr>
          <w:ilvl w:val="0"/>
          <w:numId w:val="7"/>
        </w:numPr>
        <w:spacing w:before="240" w:after="120" w:line="240" w:lineRule="auto"/>
      </w:pPr>
      <w:r>
        <w:t>ensuring that the</w:t>
      </w:r>
      <w:r w:rsidR="003A2F83" w:rsidRPr="003A2F83">
        <w:t xml:space="preserve"> allocated annual revenue and capital resource limits are not exceeded</w:t>
      </w:r>
      <w:r>
        <w:t>;</w:t>
      </w:r>
    </w:p>
    <w:p w14:paraId="7E6162E7" w14:textId="3D04E25A" w:rsidR="00070894" w:rsidRDefault="00070894" w:rsidP="00336F62">
      <w:pPr>
        <w:pStyle w:val="BodyTextNoSpacing"/>
        <w:numPr>
          <w:ilvl w:val="0"/>
          <w:numId w:val="7"/>
        </w:numPr>
        <w:spacing w:before="240" w:after="120" w:line="240" w:lineRule="auto"/>
      </w:pPr>
      <w:r>
        <w:t>ensuring that there is an effective financial control framework in place to support accurate financial reporting, safeguard assets and minimise risk of financial loss;</w:t>
      </w:r>
    </w:p>
    <w:p w14:paraId="791C2157" w14:textId="134F1785" w:rsidR="00070894" w:rsidRDefault="00070894" w:rsidP="00336F62">
      <w:pPr>
        <w:pStyle w:val="BodyTextNoSpacing"/>
        <w:numPr>
          <w:ilvl w:val="0"/>
          <w:numId w:val="7"/>
        </w:numPr>
        <w:spacing w:before="240" w:after="120" w:line="240" w:lineRule="auto"/>
      </w:pPr>
      <w:r>
        <w:t>meeting statutory requirements relating to taxation;</w:t>
      </w:r>
    </w:p>
    <w:p w14:paraId="4737F653" w14:textId="7453C768" w:rsidR="00070894" w:rsidRDefault="00070894" w:rsidP="00336F62">
      <w:pPr>
        <w:pStyle w:val="BodyTextNoSpacing"/>
        <w:numPr>
          <w:ilvl w:val="0"/>
          <w:numId w:val="7"/>
        </w:numPr>
        <w:spacing w:before="240" w:after="120" w:line="240" w:lineRule="auto"/>
      </w:pPr>
      <w:r>
        <w:t xml:space="preserve">ensuring that </w:t>
      </w:r>
      <w:r w:rsidRPr="00637C6A">
        <w:rPr>
          <w:color w:val="auto"/>
        </w:rPr>
        <w:t xml:space="preserve">there are suitable financial systems in place (see Section </w:t>
      </w:r>
      <w:r w:rsidR="00A97244" w:rsidRPr="00637C6A">
        <w:rPr>
          <w:color w:val="auto"/>
        </w:rPr>
        <w:t>5 – Financial Systems and Processes</w:t>
      </w:r>
      <w:r w:rsidRPr="00637C6A">
        <w:rPr>
          <w:color w:val="auto"/>
        </w:rPr>
        <w:t>)</w:t>
      </w:r>
      <w:r w:rsidR="0046197D">
        <w:rPr>
          <w:color w:val="auto"/>
        </w:rPr>
        <w:t>,</w:t>
      </w:r>
    </w:p>
    <w:p w14:paraId="71DB25B4" w14:textId="0A1919E2" w:rsidR="000F7974" w:rsidRDefault="000F7974" w:rsidP="00336F62">
      <w:pPr>
        <w:pStyle w:val="BodyTextNoSpacing"/>
        <w:numPr>
          <w:ilvl w:val="0"/>
          <w:numId w:val="7"/>
        </w:numPr>
        <w:spacing w:before="240" w:after="120" w:line="240" w:lineRule="auto"/>
      </w:pPr>
      <w:r w:rsidRPr="000F7974">
        <w:t>meets the financial targets set for it by NHS England</w:t>
      </w:r>
      <w:r w:rsidR="00295100">
        <w:t>;</w:t>
      </w:r>
    </w:p>
    <w:p w14:paraId="31B1ABF3" w14:textId="068A971C" w:rsidR="003A2F83" w:rsidRDefault="003A2F83" w:rsidP="00336F62">
      <w:pPr>
        <w:pStyle w:val="BodyTextNoSpacing"/>
        <w:numPr>
          <w:ilvl w:val="0"/>
          <w:numId w:val="7"/>
        </w:numPr>
        <w:spacing w:before="240" w:after="120" w:line="240" w:lineRule="auto"/>
      </w:pPr>
      <w:r w:rsidRPr="003A2F83">
        <w:t xml:space="preserve">use of </w:t>
      </w:r>
      <w:r w:rsidR="00295100">
        <w:t>incidental powers such as management of ICB assets, entering commercial agreements</w:t>
      </w:r>
      <w:r w:rsidR="00587FA1">
        <w:t>;</w:t>
      </w:r>
      <w:r w:rsidR="00295100">
        <w:t xml:space="preserve"> </w:t>
      </w:r>
    </w:p>
    <w:p w14:paraId="0FA814C4" w14:textId="1122313E" w:rsidR="003A2F83" w:rsidRPr="003A2F83" w:rsidRDefault="003A2F83" w:rsidP="00336F62">
      <w:pPr>
        <w:pStyle w:val="BodyText"/>
        <w:numPr>
          <w:ilvl w:val="0"/>
          <w:numId w:val="7"/>
        </w:numPr>
        <w:spacing w:before="240" w:after="120" w:line="240" w:lineRule="auto"/>
      </w:pPr>
      <w:r w:rsidRPr="003A2F83">
        <w:t xml:space="preserve">the Governance statement and </w:t>
      </w:r>
      <w:r w:rsidR="002543F4">
        <w:t>a</w:t>
      </w:r>
      <w:r w:rsidRPr="003A2F83">
        <w:t xml:space="preserve">nnual </w:t>
      </w:r>
      <w:r w:rsidR="002543F4">
        <w:t>a</w:t>
      </w:r>
      <w:r w:rsidRPr="003A2F83">
        <w:t xml:space="preserve">ccounts &amp; </w:t>
      </w:r>
      <w:r w:rsidR="002543F4">
        <w:t>r</w:t>
      </w:r>
      <w:r w:rsidRPr="003A2F83">
        <w:t xml:space="preserve">eports are signed; </w:t>
      </w:r>
    </w:p>
    <w:p w14:paraId="615DAD35" w14:textId="3276542E" w:rsidR="00A97244" w:rsidRPr="00637C6A" w:rsidRDefault="00BA5E14" w:rsidP="00E44785">
      <w:pPr>
        <w:pStyle w:val="BodyTextNoSpacing"/>
        <w:numPr>
          <w:ilvl w:val="0"/>
          <w:numId w:val="7"/>
        </w:numPr>
        <w:spacing w:before="240" w:after="120" w:line="240" w:lineRule="auto"/>
      </w:pPr>
      <w:r>
        <w:t>ensuring planned budgets are approved by the relevant Board; developing the funding strategy for the ICB to support the board in achieving ICB objectives, including consideration of place-based budgets</w:t>
      </w:r>
      <w:r w:rsidR="00A97244" w:rsidRPr="00BA5E14">
        <w:rPr>
          <w:color w:val="auto"/>
        </w:rPr>
        <w:t>;</w:t>
      </w:r>
    </w:p>
    <w:p w14:paraId="0C1723EC" w14:textId="12D3B888" w:rsidR="002543F4" w:rsidRDefault="00F54488" w:rsidP="00336F62">
      <w:pPr>
        <w:pStyle w:val="BodyTextNoSpacing"/>
        <w:numPr>
          <w:ilvl w:val="0"/>
          <w:numId w:val="7"/>
        </w:numPr>
        <w:spacing w:before="240" w:after="120" w:line="240" w:lineRule="auto"/>
      </w:pPr>
      <w:r w:rsidRPr="002E4DC6">
        <w:t>making use of benchmarking to make sure that funds are deployed as effectively as possible</w:t>
      </w:r>
      <w:r w:rsidR="00587FA1">
        <w:t>;</w:t>
      </w:r>
    </w:p>
    <w:p w14:paraId="4BF8CEF4" w14:textId="77777777" w:rsidR="00BA5E14" w:rsidRDefault="00BA5E14" w:rsidP="00BA5E14">
      <w:pPr>
        <w:pStyle w:val="ListParagraph"/>
        <w:numPr>
          <w:ilvl w:val="0"/>
          <w:numId w:val="7"/>
        </w:numPr>
        <w:spacing w:line="276" w:lineRule="auto"/>
      </w:pPr>
      <w:r>
        <w:t xml:space="preserve">ensuring that sufficient records are maintained to show and explain the ICB's transactions, </w:t>
      </w:r>
      <w:proofErr w:type="gramStart"/>
      <w:r>
        <w:t>in order to</w:t>
      </w:r>
      <w:proofErr w:type="gramEnd"/>
      <w:r>
        <w:t xml:space="preserve"> disclose, with reasonable accuracy, the financial position of the ICB at any time;</w:t>
      </w:r>
    </w:p>
    <w:p w14:paraId="0BB33BBE" w14:textId="5FFFF4E2" w:rsidR="00295100" w:rsidRPr="00295100" w:rsidRDefault="00295100" w:rsidP="00336F62">
      <w:pPr>
        <w:pStyle w:val="BodyText"/>
        <w:numPr>
          <w:ilvl w:val="0"/>
          <w:numId w:val="7"/>
        </w:numPr>
        <w:spacing w:before="240" w:after="120" w:line="240" w:lineRule="auto"/>
        <w:rPr>
          <w:sz w:val="23"/>
          <w:szCs w:val="23"/>
        </w:rPr>
      </w:pPr>
      <w:r>
        <w:t>e</w:t>
      </w:r>
      <w:r w:rsidR="003A2F83" w:rsidRPr="003A2F83">
        <w:t xml:space="preserve">xecutive </w:t>
      </w:r>
      <w:r>
        <w:t>m</w:t>
      </w:r>
      <w:r w:rsidR="003A2F83" w:rsidRPr="003A2F83">
        <w:t>embers</w:t>
      </w:r>
      <w:r w:rsidR="002543F4">
        <w:t xml:space="preserve"> (partner members and non-executive members)</w:t>
      </w:r>
      <w:r w:rsidR="003A2F83" w:rsidRPr="003A2F83">
        <w:t xml:space="preserve"> and other </w:t>
      </w:r>
      <w:r>
        <w:t>o</w:t>
      </w:r>
      <w:r w:rsidR="003A2F83" w:rsidRPr="003A2F83">
        <w:t>fficers are notified of and understand their responsibilities within the SFIs</w:t>
      </w:r>
      <w:r w:rsidR="00587FA1">
        <w:t>;</w:t>
      </w:r>
    </w:p>
    <w:p w14:paraId="59C5AAB5" w14:textId="5F98D38D" w:rsidR="003A2F83" w:rsidRPr="00295100" w:rsidRDefault="003A2F83" w:rsidP="00336F62">
      <w:pPr>
        <w:pStyle w:val="BodyText"/>
        <w:numPr>
          <w:ilvl w:val="0"/>
          <w:numId w:val="7"/>
        </w:numPr>
        <w:spacing w:before="240" w:after="120" w:line="240" w:lineRule="auto"/>
        <w:ind w:left="714" w:hanging="357"/>
        <w:rPr>
          <w:sz w:val="23"/>
          <w:szCs w:val="23"/>
        </w:rPr>
      </w:pPr>
      <w:r w:rsidRPr="003A2F83">
        <w:t xml:space="preserve">specific responsibilities and delegation of authority to </w:t>
      </w:r>
      <w:r w:rsidRPr="00295100">
        <w:rPr>
          <w:sz w:val="23"/>
          <w:szCs w:val="23"/>
        </w:rPr>
        <w:t>specific job titles are confirmed</w:t>
      </w:r>
      <w:r w:rsidR="00587FA1">
        <w:rPr>
          <w:sz w:val="23"/>
          <w:szCs w:val="23"/>
        </w:rPr>
        <w:t>;</w:t>
      </w:r>
      <w:r w:rsidRPr="00295100">
        <w:rPr>
          <w:sz w:val="23"/>
          <w:szCs w:val="23"/>
        </w:rPr>
        <w:t xml:space="preserve"> </w:t>
      </w:r>
    </w:p>
    <w:p w14:paraId="54E3EB54" w14:textId="4629FBCA" w:rsidR="000F7974" w:rsidRDefault="00BA5E14" w:rsidP="00336F62">
      <w:pPr>
        <w:pStyle w:val="BodyText"/>
        <w:numPr>
          <w:ilvl w:val="0"/>
          <w:numId w:val="7"/>
        </w:numPr>
        <w:spacing w:before="240" w:after="120" w:line="240" w:lineRule="auto"/>
      </w:pPr>
      <w:r>
        <w:t xml:space="preserve">provision of </w:t>
      </w:r>
      <w:r w:rsidR="008E4B3D" w:rsidRPr="008E4B3D">
        <w:t>financial leadership and financial performance of the ICB</w:t>
      </w:r>
      <w:r w:rsidR="00587FA1">
        <w:t>;</w:t>
      </w:r>
      <w:r w:rsidR="008E4B3D" w:rsidRPr="008E4B3D">
        <w:t xml:space="preserve"> </w:t>
      </w:r>
    </w:p>
    <w:p w14:paraId="4E90D56F" w14:textId="39D8DCFD" w:rsidR="000F7974" w:rsidRDefault="00067C00" w:rsidP="00336F62">
      <w:pPr>
        <w:pStyle w:val="BodyText"/>
        <w:numPr>
          <w:ilvl w:val="0"/>
          <w:numId w:val="7"/>
        </w:numPr>
        <w:spacing w:before="240" w:after="120" w:line="240" w:lineRule="auto"/>
      </w:pPr>
      <w:r>
        <w:t>identification of key financial risks and issues relat</w:t>
      </w:r>
      <w:r w:rsidR="0071719B">
        <w:t>ing</w:t>
      </w:r>
      <w:r>
        <w:t xml:space="preserve"> to robust financial performance and leadership and working with relevant providers and partners to enable solutions</w:t>
      </w:r>
      <w:r w:rsidR="0071719B">
        <w:t xml:space="preserve">; and </w:t>
      </w:r>
    </w:p>
    <w:p w14:paraId="4099D7D2" w14:textId="4FDBA39E" w:rsidR="008A03E3" w:rsidRDefault="00CD3A75" w:rsidP="00336F62">
      <w:pPr>
        <w:pStyle w:val="BodyText"/>
        <w:numPr>
          <w:ilvl w:val="0"/>
          <w:numId w:val="7"/>
        </w:numPr>
        <w:spacing w:before="240" w:after="120" w:line="240" w:lineRule="auto"/>
        <w:ind w:left="714" w:hanging="357"/>
      </w:pPr>
      <w:r>
        <w:lastRenderedPageBreak/>
        <w:t xml:space="preserve">the </w:t>
      </w:r>
      <w:r w:rsidR="00220CAE">
        <w:t>Chief Finance Officer</w:t>
      </w:r>
      <w:r w:rsidR="00D707EF">
        <w:t xml:space="preserve"> </w:t>
      </w:r>
      <w:r w:rsidR="00D707EF" w:rsidRPr="00FA3B3A">
        <w:t>will</w:t>
      </w:r>
      <w:r w:rsidR="00FA3B3A" w:rsidRPr="00FA3B3A">
        <w:t xml:space="preserve"> support a strong culture of public accountability, probity, and governance, ensuring that appropriate and compliant structures, systems, and process are in place to minimise risk</w:t>
      </w:r>
      <w:r w:rsidR="0071719B">
        <w:t>.</w:t>
      </w:r>
    </w:p>
    <w:p w14:paraId="739DE279" w14:textId="23AB9C89" w:rsidR="00BA5E14" w:rsidRDefault="00BA5E14" w:rsidP="00BA5E14">
      <w:pPr>
        <w:pStyle w:val="ListParagraph"/>
        <w:numPr>
          <w:ilvl w:val="0"/>
          <w:numId w:val="7"/>
        </w:numPr>
        <w:spacing w:line="276" w:lineRule="auto"/>
      </w:pPr>
      <w:r>
        <w:t xml:space="preserve">ensuring money drawn from the Department of Health against the financing requirement arising from the Resource Limit is required for approved expenditure </w:t>
      </w:r>
      <w:r w:rsidR="00572AFD">
        <w:t>only and</w:t>
      </w:r>
      <w:r>
        <w:t xml:space="preserve"> is drawn down only at the time of need, following best practice as set out in ‘Cash Management in the NHS’.</w:t>
      </w:r>
    </w:p>
    <w:p w14:paraId="0B062084" w14:textId="77777777" w:rsidR="00BA5E14" w:rsidRDefault="00BA5E14" w:rsidP="00BA5E14"/>
    <w:p w14:paraId="39C92C90" w14:textId="4E836980" w:rsidR="008A03E3" w:rsidRPr="00585278" w:rsidRDefault="008A03E3" w:rsidP="00171ABE">
      <w:pPr>
        <w:pStyle w:val="Heading2Numbered"/>
        <w:spacing w:before="360"/>
        <w:ind w:left="0"/>
        <w:rPr>
          <w:color w:val="002060"/>
        </w:rPr>
      </w:pPr>
      <w:bookmarkStart w:id="5" w:name="_Toc230249749"/>
      <w:r w:rsidRPr="00585278">
        <w:rPr>
          <w:color w:val="002060"/>
        </w:rPr>
        <w:t>Audit</w:t>
      </w:r>
      <w:r w:rsidR="00D707EF" w:rsidRPr="00585278">
        <w:rPr>
          <w:color w:val="002060"/>
        </w:rPr>
        <w:t xml:space="preserve"> </w:t>
      </w:r>
      <w:r w:rsidR="00585278" w:rsidRPr="00585278">
        <w:rPr>
          <w:color w:val="002060"/>
        </w:rPr>
        <w:t>C</w:t>
      </w:r>
      <w:r w:rsidRPr="00585278">
        <w:rPr>
          <w:color w:val="002060"/>
        </w:rPr>
        <w:t>ommittee</w:t>
      </w:r>
      <w:bookmarkEnd w:id="5"/>
    </w:p>
    <w:p w14:paraId="70E5E1CC" w14:textId="28354031" w:rsidR="0078063A" w:rsidRDefault="00F413F4" w:rsidP="0070678C">
      <w:pPr>
        <w:pStyle w:val="Heading3Numbered"/>
      </w:pPr>
      <w:r>
        <w:t xml:space="preserve">The </w:t>
      </w:r>
      <w:r w:rsidR="0032611D" w:rsidRPr="00FC02FE">
        <w:t xml:space="preserve">ICB </w:t>
      </w:r>
      <w:r w:rsidR="00B6612B">
        <w:t>B</w:t>
      </w:r>
      <w:r>
        <w:t xml:space="preserve">oard </w:t>
      </w:r>
      <w:r w:rsidR="0032611D" w:rsidRPr="00FC02FE">
        <w:t>(Board)</w:t>
      </w:r>
      <w:r w:rsidR="0032611D" w:rsidRPr="0032611D">
        <w:rPr>
          <w:color w:val="FF0000"/>
        </w:rPr>
        <w:t xml:space="preserve"> </w:t>
      </w:r>
      <w:r>
        <w:t xml:space="preserve">and </w:t>
      </w:r>
      <w:r w:rsidR="00585278">
        <w:t>Chief Executive</w:t>
      </w:r>
      <w:r>
        <w:t xml:space="preserve"> should be supported by an </w:t>
      </w:r>
      <w:r w:rsidR="00842F6A">
        <w:t>A</w:t>
      </w:r>
      <w:r>
        <w:t xml:space="preserve">udit </w:t>
      </w:r>
      <w:r w:rsidR="00585278">
        <w:t>C</w:t>
      </w:r>
      <w:r>
        <w:t>ommittee, wh</w:t>
      </w:r>
      <w:r w:rsidR="0071719B">
        <w:t>ich</w:t>
      </w:r>
      <w:r>
        <w:t xml:space="preserve"> should provide proactive support</w:t>
      </w:r>
      <w:r w:rsidR="0071719B">
        <w:t xml:space="preserve"> to the </w:t>
      </w:r>
      <w:r w:rsidR="00B6612B">
        <w:t>B</w:t>
      </w:r>
      <w:r w:rsidR="0071719B">
        <w:t>oard</w:t>
      </w:r>
      <w:r w:rsidR="007C73CB">
        <w:t xml:space="preserve">, </w:t>
      </w:r>
      <w:r w:rsidR="00F52F45">
        <w:t xml:space="preserve">fulfilment of its terms of reference, and </w:t>
      </w:r>
      <w:r>
        <w:t>advising on</w:t>
      </w:r>
      <w:r w:rsidR="00CA3FC1">
        <w:t>:</w:t>
      </w:r>
    </w:p>
    <w:p w14:paraId="0DAF6F06" w14:textId="750CD2ED" w:rsidR="0078063A" w:rsidRDefault="00F413F4" w:rsidP="00336F62">
      <w:pPr>
        <w:pStyle w:val="BodyText"/>
        <w:numPr>
          <w:ilvl w:val="0"/>
          <w:numId w:val="14"/>
        </w:numPr>
        <w:spacing w:before="240" w:after="120" w:line="240" w:lineRule="auto"/>
        <w:ind w:left="714" w:hanging="357"/>
      </w:pPr>
      <w:r>
        <w:t>the management of key risks</w:t>
      </w:r>
      <w:r w:rsidR="0046197D">
        <w:t>;</w:t>
      </w:r>
    </w:p>
    <w:p w14:paraId="42252DC4" w14:textId="77777777" w:rsidR="0078063A" w:rsidRDefault="0078063A" w:rsidP="00336F62">
      <w:pPr>
        <w:pStyle w:val="BodyText"/>
        <w:numPr>
          <w:ilvl w:val="0"/>
          <w:numId w:val="14"/>
        </w:numPr>
        <w:spacing w:before="240" w:after="120" w:line="240" w:lineRule="auto"/>
      </w:pPr>
      <w:r w:rsidRPr="0078063A">
        <w:t>the strategic processes for risk</w:t>
      </w:r>
      <w:r>
        <w:t>;</w:t>
      </w:r>
    </w:p>
    <w:p w14:paraId="722499B0" w14:textId="77777777" w:rsidR="0078063A" w:rsidRDefault="00F413F4" w:rsidP="00336F62">
      <w:pPr>
        <w:pStyle w:val="BodyText"/>
        <w:numPr>
          <w:ilvl w:val="0"/>
          <w:numId w:val="14"/>
        </w:numPr>
        <w:spacing w:before="240" w:after="120" w:line="240" w:lineRule="auto"/>
      </w:pPr>
      <w:r>
        <w:t>the operation of internal controls</w:t>
      </w:r>
      <w:r w:rsidR="0078063A">
        <w:t>;</w:t>
      </w:r>
      <w:r w:rsidR="0078063A" w:rsidRPr="0078063A">
        <w:t xml:space="preserve"> </w:t>
      </w:r>
    </w:p>
    <w:p w14:paraId="757DC657" w14:textId="55CF72F0" w:rsidR="0078063A" w:rsidRDefault="0078063A" w:rsidP="00336F62">
      <w:pPr>
        <w:pStyle w:val="BodyText"/>
        <w:numPr>
          <w:ilvl w:val="0"/>
          <w:numId w:val="14"/>
        </w:numPr>
        <w:spacing w:before="240" w:after="120" w:line="240" w:lineRule="auto"/>
      </w:pPr>
      <w:r w:rsidRPr="0078063A">
        <w:t xml:space="preserve">control and governance and the </w:t>
      </w:r>
      <w:r w:rsidR="002543F4">
        <w:t>g</w:t>
      </w:r>
      <w:r w:rsidRPr="0078063A">
        <w:t xml:space="preserve">overnance </w:t>
      </w:r>
      <w:r w:rsidR="002543F4">
        <w:t>s</w:t>
      </w:r>
      <w:r w:rsidRPr="0078063A">
        <w:t>tatement</w:t>
      </w:r>
      <w:r>
        <w:t>;</w:t>
      </w:r>
      <w:r w:rsidRPr="0078063A">
        <w:t xml:space="preserve"> </w:t>
      </w:r>
    </w:p>
    <w:p w14:paraId="50EAB330" w14:textId="505F62EC" w:rsidR="0078545D" w:rsidRDefault="0078063A" w:rsidP="00336F62">
      <w:pPr>
        <w:pStyle w:val="BodyText"/>
        <w:numPr>
          <w:ilvl w:val="0"/>
          <w:numId w:val="14"/>
        </w:numPr>
        <w:spacing w:before="240" w:after="120" w:line="240" w:lineRule="auto"/>
      </w:pPr>
      <w:r w:rsidRPr="0078063A">
        <w:t>the accounting policies, the accounts, and the annual report of</w:t>
      </w:r>
      <w:r>
        <w:t xml:space="preserve"> the ICB;</w:t>
      </w:r>
    </w:p>
    <w:p w14:paraId="5BD89ADD" w14:textId="48DB9DEE" w:rsidR="00FA4D98" w:rsidRDefault="009667DC" w:rsidP="001576FD">
      <w:pPr>
        <w:pStyle w:val="BodyTextNoSpacing"/>
        <w:numPr>
          <w:ilvl w:val="0"/>
          <w:numId w:val="14"/>
        </w:numPr>
        <w:spacing w:line="240" w:lineRule="auto"/>
      </w:pPr>
      <w:r w:rsidRPr="004458C2">
        <w:t>the process for reviewing of the accounts prior to submission for audit</w:t>
      </w:r>
      <w:r w:rsidR="0071719B">
        <w:t>,</w:t>
      </w:r>
      <w:r w:rsidRPr="004458C2">
        <w:t xml:space="preserve"> management’s letter of representation to the external auditors; and the planned activity and results of both internal and external audit. </w:t>
      </w:r>
    </w:p>
    <w:p w14:paraId="2CF63619" w14:textId="25572243" w:rsidR="00C346BD" w:rsidRPr="00C346BD" w:rsidRDefault="00C346BD" w:rsidP="00C346BD">
      <w:pPr>
        <w:pStyle w:val="ListParagraph"/>
        <w:numPr>
          <w:ilvl w:val="0"/>
          <w:numId w:val="14"/>
        </w:numPr>
      </w:pPr>
      <w:r>
        <w:t>A</w:t>
      </w:r>
      <w:r w:rsidR="009424A4">
        <w:t xml:space="preserve">gree </w:t>
      </w:r>
      <w:r w:rsidRPr="00C346BD">
        <w:t>Prepare Standing Financial Instructions (SFIs)</w:t>
      </w:r>
    </w:p>
    <w:p w14:paraId="24795F1D" w14:textId="77777777" w:rsidR="00C346BD" w:rsidRDefault="00C346BD" w:rsidP="009424A4">
      <w:pPr>
        <w:pStyle w:val="BodyTextNoSpacing"/>
        <w:spacing w:line="240" w:lineRule="auto"/>
        <w:ind w:left="720"/>
      </w:pPr>
    </w:p>
    <w:p w14:paraId="7B8FED0C" w14:textId="463DA814" w:rsidR="00FA4D98" w:rsidRDefault="00FA4D98" w:rsidP="0084135D">
      <w:pPr>
        <w:pStyle w:val="BodyText"/>
        <w:spacing w:before="240" w:after="120" w:line="240" w:lineRule="auto"/>
        <w:ind w:left="993"/>
      </w:pPr>
    </w:p>
    <w:p w14:paraId="6EB93C2F" w14:textId="36E22B90" w:rsidR="00EF1B8A" w:rsidRPr="00C4686D" w:rsidRDefault="00EF1B8A" w:rsidP="00171ABE">
      <w:pPr>
        <w:pStyle w:val="Heading2Numbered"/>
        <w:ind w:left="0"/>
        <w:rPr>
          <w:color w:val="002060"/>
        </w:rPr>
      </w:pPr>
      <w:bookmarkStart w:id="6" w:name="_Toc230249750"/>
      <w:r w:rsidRPr="00C4686D">
        <w:rPr>
          <w:color w:val="002060"/>
        </w:rPr>
        <w:t>Finance</w:t>
      </w:r>
      <w:r w:rsidR="00585278" w:rsidRPr="00C4686D">
        <w:rPr>
          <w:color w:val="002060"/>
        </w:rPr>
        <w:t xml:space="preserve"> C</w:t>
      </w:r>
      <w:r w:rsidRPr="00C4686D">
        <w:rPr>
          <w:color w:val="002060"/>
        </w:rPr>
        <w:t>ommittee</w:t>
      </w:r>
      <w:r w:rsidR="00632861" w:rsidRPr="00C4686D">
        <w:rPr>
          <w:color w:val="002060"/>
        </w:rPr>
        <w:t xml:space="preserve"> (or equivalent)</w:t>
      </w:r>
      <w:bookmarkEnd w:id="6"/>
    </w:p>
    <w:p w14:paraId="5A4158D7" w14:textId="27942961" w:rsidR="00EF1B8A" w:rsidRDefault="00585278" w:rsidP="0070678C">
      <w:pPr>
        <w:pStyle w:val="Heading3Numbered"/>
      </w:pPr>
      <w:r w:rsidRPr="00C4686D">
        <w:t>The ICB Board (Board)</w:t>
      </w:r>
      <w:r w:rsidRPr="00C4686D">
        <w:rPr>
          <w:color w:val="FF0000"/>
        </w:rPr>
        <w:t xml:space="preserve"> </w:t>
      </w:r>
      <w:r w:rsidRPr="00C4686D">
        <w:t>and Chief Executive should be supported by a Finance Committee.  T</w:t>
      </w:r>
      <w:r w:rsidR="00316B4E" w:rsidRPr="00C4686D">
        <w:t xml:space="preserve">he </w:t>
      </w:r>
      <w:r w:rsidRPr="00C4686D">
        <w:t xml:space="preserve">Finance </w:t>
      </w:r>
      <w:r w:rsidR="00CD1863" w:rsidRPr="00C4686D">
        <w:t>Committee</w:t>
      </w:r>
      <w:r w:rsidR="00CD1863">
        <w:t xml:space="preserve"> </w:t>
      </w:r>
      <w:r w:rsidR="00EF1B8A">
        <w:t xml:space="preserve">shall support the </w:t>
      </w:r>
      <w:r w:rsidR="0032611D">
        <w:t xml:space="preserve">Board </w:t>
      </w:r>
      <w:r w:rsidR="00275403">
        <w:t>through</w:t>
      </w:r>
      <w:r w:rsidR="00BE0993">
        <w:t xml:space="preserve"> </w:t>
      </w:r>
      <w:r w:rsidR="00660F28">
        <w:t>fulfilment</w:t>
      </w:r>
      <w:r w:rsidR="00BE0993">
        <w:t xml:space="preserve"> of its TORs</w:t>
      </w:r>
      <w:r w:rsidR="00ED5BD1">
        <w:t xml:space="preserve"> and </w:t>
      </w:r>
      <w:r w:rsidR="00275403">
        <w:t>its purpose;</w:t>
      </w:r>
    </w:p>
    <w:p w14:paraId="220E493C" w14:textId="71B1A77B" w:rsidR="007F4FA9" w:rsidRPr="007F4FA9" w:rsidRDefault="007F4FA9" w:rsidP="0074740C">
      <w:pPr>
        <w:pStyle w:val="BodyText"/>
        <w:numPr>
          <w:ilvl w:val="0"/>
          <w:numId w:val="60"/>
        </w:numPr>
        <w:spacing w:before="300" w:after="100" w:line="240" w:lineRule="auto"/>
        <w:rPr>
          <w:rFonts w:eastAsiaTheme="majorEastAsia" w:cstheme="majorBidi"/>
        </w:rPr>
      </w:pPr>
      <w:r w:rsidRPr="00B6612B">
        <w:t>To contribute to the overall delivery of the ICB</w:t>
      </w:r>
      <w:r w:rsidR="00862170">
        <w:t>’s</w:t>
      </w:r>
      <w:r w:rsidRPr="00B6612B">
        <w:t xml:space="preserve"> objectives by providing</w:t>
      </w:r>
      <w:r w:rsidRPr="007F4FA9">
        <w:rPr>
          <w:rFonts w:eastAsiaTheme="majorEastAsia" w:cstheme="majorBidi"/>
        </w:rPr>
        <w:t xml:space="preserve"> oversight and assurance to the Board in the development and delivery of a robust, viable and sustainable system financial strategy and operational plan. This includes:</w:t>
      </w:r>
    </w:p>
    <w:p w14:paraId="191C5286" w14:textId="4BB00DB1" w:rsidR="007F4FA9" w:rsidRPr="007F4FA9" w:rsidRDefault="007F4FA9" w:rsidP="0074740C">
      <w:pPr>
        <w:pStyle w:val="BodyText"/>
        <w:numPr>
          <w:ilvl w:val="1"/>
          <w:numId w:val="61"/>
        </w:numPr>
        <w:spacing w:before="240" w:after="120" w:line="240" w:lineRule="auto"/>
        <w:ind w:left="1134"/>
        <w:rPr>
          <w:rFonts w:eastAsiaTheme="majorEastAsia" w:cstheme="majorBidi"/>
        </w:rPr>
      </w:pPr>
      <w:r w:rsidRPr="007F4FA9">
        <w:rPr>
          <w:rFonts w:eastAsiaTheme="majorEastAsia" w:cstheme="majorBidi"/>
        </w:rPr>
        <w:t>financial performance of the ICB</w:t>
      </w:r>
    </w:p>
    <w:p w14:paraId="22F8C89E" w14:textId="33FD320D" w:rsidR="007F4FA9" w:rsidRPr="007F4FA9" w:rsidRDefault="007F4FA9" w:rsidP="0074740C">
      <w:pPr>
        <w:pStyle w:val="BodyText"/>
        <w:numPr>
          <w:ilvl w:val="0"/>
          <w:numId w:val="60"/>
        </w:numPr>
        <w:spacing w:before="300" w:after="100" w:line="240" w:lineRule="auto"/>
        <w:rPr>
          <w:rFonts w:eastAsiaTheme="majorEastAsia" w:cstheme="majorBidi"/>
        </w:rPr>
      </w:pPr>
      <w:r w:rsidRPr="007F4FA9">
        <w:rPr>
          <w:rFonts w:eastAsiaTheme="majorEastAsia" w:cstheme="majorBidi"/>
        </w:rPr>
        <w:t>Providing financial advice to the Integrated Care Board to enable the development of a financially sustainable Strategy</w:t>
      </w:r>
      <w:r w:rsidR="00862170">
        <w:rPr>
          <w:rFonts w:eastAsiaTheme="majorEastAsia" w:cstheme="majorBidi"/>
        </w:rPr>
        <w:t>;</w:t>
      </w:r>
    </w:p>
    <w:p w14:paraId="3B7E91BF" w14:textId="7EAACDD0" w:rsidR="007F4FA9" w:rsidRDefault="007F4FA9" w:rsidP="0074740C">
      <w:pPr>
        <w:pStyle w:val="BodyText"/>
        <w:numPr>
          <w:ilvl w:val="0"/>
          <w:numId w:val="60"/>
        </w:numPr>
        <w:spacing w:before="300" w:after="100" w:line="240" w:lineRule="auto"/>
        <w:rPr>
          <w:rFonts w:eastAsiaTheme="majorEastAsia" w:cstheme="majorBidi"/>
        </w:rPr>
      </w:pPr>
      <w:r w:rsidRPr="007F4FA9">
        <w:rPr>
          <w:rFonts w:eastAsiaTheme="majorEastAsia" w:cstheme="majorBidi"/>
        </w:rPr>
        <w:lastRenderedPageBreak/>
        <w:t>Develop financial strategy and plan for the ICB with due regard for the Strategy of the Integrated Care System Partnership Board and associated Health &amp; Wellbeing Boards</w:t>
      </w:r>
      <w:r w:rsidR="00862170">
        <w:rPr>
          <w:rFonts w:eastAsiaTheme="majorEastAsia" w:cstheme="majorBidi"/>
        </w:rPr>
        <w:t>.</w:t>
      </w:r>
    </w:p>
    <w:p w14:paraId="197E1291" w14:textId="2C6A492A" w:rsidR="00EF1B8A" w:rsidRDefault="00316B4E" w:rsidP="00BB6325">
      <w:pPr>
        <w:pStyle w:val="Heading3Numbered"/>
      </w:pPr>
      <w:r>
        <w:t xml:space="preserve">The </w:t>
      </w:r>
      <w:r w:rsidR="0032611D">
        <w:t xml:space="preserve">Board </w:t>
      </w:r>
      <w:r w:rsidR="00EF1B8A">
        <w:t xml:space="preserve">has delegated authority to the </w:t>
      </w:r>
      <w:r w:rsidR="00585278" w:rsidRPr="000179D6">
        <w:rPr>
          <w:color w:val="auto"/>
        </w:rPr>
        <w:t xml:space="preserve">Finance </w:t>
      </w:r>
      <w:r w:rsidR="00EF1B8A" w:rsidRPr="000179D6">
        <w:t xml:space="preserve">Committee </w:t>
      </w:r>
      <w:r w:rsidR="007A5E96" w:rsidRPr="000179D6">
        <w:t>(</w:t>
      </w:r>
      <w:r w:rsidR="007A5E96">
        <w:t>or equivalent)</w:t>
      </w:r>
      <w:r w:rsidR="00632861">
        <w:t xml:space="preserve"> </w:t>
      </w:r>
      <w:r w:rsidR="00EF1B8A">
        <w:t>as described in the Reservation and Delegation Scheme:</w:t>
      </w:r>
    </w:p>
    <w:p w14:paraId="149B021F" w14:textId="1E47DF7C" w:rsidR="00EF1B8A" w:rsidRPr="00166A46" w:rsidRDefault="00EF1B8A" w:rsidP="0074740C">
      <w:pPr>
        <w:pStyle w:val="ListParagraph"/>
        <w:numPr>
          <w:ilvl w:val="0"/>
          <w:numId w:val="62"/>
        </w:numPr>
        <w:tabs>
          <w:tab w:val="left" w:pos="1985"/>
        </w:tabs>
        <w:ind w:left="851"/>
        <w:rPr>
          <w:color w:val="auto"/>
        </w:rPr>
      </w:pPr>
      <w:r w:rsidRPr="00166A46">
        <w:rPr>
          <w:color w:val="auto"/>
        </w:rPr>
        <w:t xml:space="preserve">Strategy and Planning  </w:t>
      </w:r>
    </w:p>
    <w:p w14:paraId="19AD10A4" w14:textId="2AC9D3C2" w:rsidR="00EF1B8A" w:rsidRPr="00166A46" w:rsidRDefault="00EF1B8A" w:rsidP="0074740C">
      <w:pPr>
        <w:pStyle w:val="BodyText"/>
        <w:numPr>
          <w:ilvl w:val="1"/>
          <w:numId w:val="61"/>
        </w:numPr>
        <w:spacing w:before="240" w:after="120" w:line="240" w:lineRule="auto"/>
        <w:ind w:left="1134"/>
        <w:rPr>
          <w:rFonts w:eastAsiaTheme="majorEastAsia" w:cstheme="majorBidi"/>
          <w:color w:val="auto"/>
        </w:rPr>
      </w:pPr>
      <w:r w:rsidRPr="00166A46">
        <w:rPr>
          <w:rFonts w:eastAsiaTheme="majorEastAsia" w:cstheme="majorBidi"/>
          <w:color w:val="auto"/>
        </w:rPr>
        <w:t xml:space="preserve">Recommend </w:t>
      </w:r>
      <w:r w:rsidR="002E61B1" w:rsidRPr="00166A46">
        <w:rPr>
          <w:rFonts w:eastAsiaTheme="majorEastAsia" w:cstheme="majorBidi"/>
          <w:color w:val="auto"/>
        </w:rPr>
        <w:t>a</w:t>
      </w:r>
      <w:r w:rsidRPr="00166A46">
        <w:rPr>
          <w:rFonts w:eastAsiaTheme="majorEastAsia" w:cstheme="majorBidi"/>
          <w:color w:val="auto"/>
        </w:rPr>
        <w:t>nnual</w:t>
      </w:r>
      <w:r w:rsidR="002E61B1" w:rsidRPr="00166A46">
        <w:rPr>
          <w:rFonts w:eastAsiaTheme="majorEastAsia" w:cstheme="majorBidi"/>
          <w:color w:val="auto"/>
        </w:rPr>
        <w:t xml:space="preserve">, </w:t>
      </w:r>
      <w:r w:rsidR="003913B6" w:rsidRPr="00166A46">
        <w:rPr>
          <w:rFonts w:eastAsiaTheme="majorEastAsia" w:cstheme="majorBidi"/>
          <w:color w:val="auto"/>
        </w:rPr>
        <w:t>medium-term</w:t>
      </w:r>
      <w:r w:rsidR="002E61B1" w:rsidRPr="00166A46">
        <w:rPr>
          <w:rFonts w:eastAsiaTheme="majorEastAsia" w:cstheme="majorBidi"/>
          <w:color w:val="auto"/>
        </w:rPr>
        <w:t xml:space="preserve"> and </w:t>
      </w:r>
      <w:r w:rsidR="001C0072" w:rsidRPr="00166A46">
        <w:rPr>
          <w:rFonts w:eastAsiaTheme="majorEastAsia" w:cstheme="majorBidi"/>
          <w:color w:val="auto"/>
        </w:rPr>
        <w:t>Long-Term</w:t>
      </w:r>
      <w:r w:rsidR="002E61B1" w:rsidRPr="00166A46">
        <w:rPr>
          <w:rFonts w:eastAsiaTheme="majorEastAsia" w:cstheme="majorBidi"/>
          <w:color w:val="auto"/>
        </w:rPr>
        <w:t xml:space="preserve"> </w:t>
      </w:r>
      <w:r w:rsidRPr="00166A46">
        <w:rPr>
          <w:rFonts w:eastAsiaTheme="majorEastAsia" w:cstheme="majorBidi"/>
          <w:color w:val="auto"/>
        </w:rPr>
        <w:t xml:space="preserve">financial plans to the </w:t>
      </w:r>
      <w:r w:rsidR="0032611D" w:rsidRPr="00166A46">
        <w:rPr>
          <w:color w:val="auto"/>
        </w:rPr>
        <w:t>Board</w:t>
      </w:r>
      <w:r w:rsidRPr="00166A46">
        <w:rPr>
          <w:rFonts w:eastAsiaTheme="majorEastAsia" w:cstheme="majorBidi"/>
          <w:color w:val="auto"/>
        </w:rPr>
        <w:t>.</w:t>
      </w:r>
    </w:p>
    <w:p w14:paraId="766FF89E" w14:textId="7304DF61" w:rsidR="002E61B1" w:rsidRPr="00166A46" w:rsidRDefault="002E61B1" w:rsidP="0074740C">
      <w:pPr>
        <w:pStyle w:val="BodyText"/>
        <w:numPr>
          <w:ilvl w:val="1"/>
          <w:numId w:val="61"/>
        </w:numPr>
        <w:spacing w:before="240" w:after="120" w:line="240" w:lineRule="auto"/>
        <w:ind w:left="1134"/>
        <w:rPr>
          <w:rFonts w:eastAsiaTheme="majorEastAsia" w:cstheme="majorBidi"/>
          <w:color w:val="auto"/>
        </w:rPr>
      </w:pPr>
      <w:r w:rsidRPr="00166A46">
        <w:rPr>
          <w:rFonts w:eastAsiaTheme="majorEastAsia" w:cstheme="majorBidi"/>
          <w:color w:val="auto"/>
        </w:rPr>
        <w:t xml:space="preserve">Recommend the approach for resource allocation to the </w:t>
      </w:r>
      <w:r w:rsidR="0032611D" w:rsidRPr="00166A46">
        <w:rPr>
          <w:color w:val="auto"/>
        </w:rPr>
        <w:t>Board</w:t>
      </w:r>
      <w:r w:rsidR="00862170" w:rsidRPr="00166A46">
        <w:rPr>
          <w:rFonts w:eastAsiaTheme="majorEastAsia" w:cstheme="majorBidi"/>
          <w:color w:val="auto"/>
        </w:rPr>
        <w:t>.</w:t>
      </w:r>
      <w:r w:rsidRPr="00166A46">
        <w:rPr>
          <w:rFonts w:eastAsiaTheme="majorEastAsia" w:cstheme="majorBidi"/>
          <w:color w:val="auto"/>
        </w:rPr>
        <w:t xml:space="preserve"> </w:t>
      </w:r>
    </w:p>
    <w:p w14:paraId="0F77FD9D" w14:textId="77777777" w:rsidR="00A94122" w:rsidRPr="00166A46" w:rsidRDefault="00A94122" w:rsidP="00637C6A">
      <w:pPr>
        <w:pStyle w:val="ListParagraph"/>
        <w:tabs>
          <w:tab w:val="left" w:pos="709"/>
        </w:tabs>
        <w:ind w:left="153"/>
        <w:rPr>
          <w:color w:val="auto"/>
        </w:rPr>
      </w:pPr>
    </w:p>
    <w:p w14:paraId="61DD3754" w14:textId="16037BB2" w:rsidR="00EF1B8A" w:rsidRPr="00166A46" w:rsidRDefault="00EF1B8A" w:rsidP="0074740C">
      <w:pPr>
        <w:pStyle w:val="ListParagraph"/>
        <w:numPr>
          <w:ilvl w:val="0"/>
          <w:numId w:val="62"/>
        </w:numPr>
        <w:tabs>
          <w:tab w:val="left" w:pos="1985"/>
        </w:tabs>
        <w:ind w:left="851"/>
        <w:rPr>
          <w:color w:val="auto"/>
        </w:rPr>
      </w:pPr>
      <w:r w:rsidRPr="00166A46">
        <w:rPr>
          <w:color w:val="auto"/>
        </w:rPr>
        <w:t>Regulation and Control</w:t>
      </w:r>
    </w:p>
    <w:p w14:paraId="102FA74C" w14:textId="19D5C593" w:rsidR="001C0072" w:rsidRPr="00166A46" w:rsidRDefault="001C0072" w:rsidP="0074740C">
      <w:pPr>
        <w:pStyle w:val="BodyText"/>
        <w:numPr>
          <w:ilvl w:val="1"/>
          <w:numId w:val="61"/>
        </w:numPr>
        <w:spacing w:before="240" w:after="120" w:line="240" w:lineRule="auto"/>
        <w:ind w:left="1134"/>
        <w:rPr>
          <w:rFonts w:eastAsiaTheme="majorEastAsia" w:cstheme="majorBidi"/>
          <w:color w:val="auto"/>
        </w:rPr>
      </w:pPr>
      <w:r w:rsidRPr="00166A46">
        <w:rPr>
          <w:rFonts w:eastAsiaTheme="majorEastAsia" w:cstheme="majorBidi"/>
          <w:color w:val="auto"/>
        </w:rPr>
        <w:t xml:space="preserve">Oversight of procurement exercises </w:t>
      </w:r>
      <w:r w:rsidR="00796DEC" w:rsidRPr="00166A46">
        <w:rPr>
          <w:rFonts w:eastAsiaTheme="majorEastAsia" w:cstheme="majorBidi"/>
          <w:color w:val="auto"/>
        </w:rPr>
        <w:t xml:space="preserve">in line with section 8 </w:t>
      </w:r>
      <w:r w:rsidRPr="00166A46">
        <w:rPr>
          <w:rFonts w:eastAsiaTheme="majorEastAsia" w:cstheme="majorBidi"/>
          <w:color w:val="auto"/>
        </w:rPr>
        <w:t xml:space="preserve">and make </w:t>
      </w:r>
      <w:r w:rsidR="008D3A4E" w:rsidRPr="00166A46">
        <w:rPr>
          <w:rFonts w:eastAsiaTheme="majorEastAsia" w:cstheme="majorBidi"/>
          <w:color w:val="auto"/>
        </w:rPr>
        <w:t>change</w:t>
      </w:r>
      <w:r w:rsidR="000179D6" w:rsidRPr="00166A46">
        <w:rPr>
          <w:rFonts w:eastAsiaTheme="majorEastAsia" w:cstheme="majorBidi"/>
          <w:color w:val="auto"/>
        </w:rPr>
        <w:t xml:space="preserve"> </w:t>
      </w:r>
      <w:r w:rsidRPr="00166A46">
        <w:rPr>
          <w:rFonts w:eastAsiaTheme="majorEastAsia" w:cstheme="majorBidi"/>
          <w:color w:val="auto"/>
        </w:rPr>
        <w:t xml:space="preserve">recommendations to the </w:t>
      </w:r>
      <w:r w:rsidR="0032611D" w:rsidRPr="00166A46">
        <w:rPr>
          <w:color w:val="auto"/>
        </w:rPr>
        <w:t>Board</w:t>
      </w:r>
      <w:r w:rsidR="00862170" w:rsidRPr="00166A46">
        <w:rPr>
          <w:rFonts w:eastAsiaTheme="majorEastAsia" w:cstheme="majorBidi"/>
          <w:color w:val="auto"/>
        </w:rPr>
        <w:t>.</w:t>
      </w:r>
    </w:p>
    <w:p w14:paraId="24BEF809" w14:textId="1195DF6E" w:rsidR="00777419" w:rsidRDefault="00777419" w:rsidP="00DE50F1">
      <w:pPr>
        <w:pStyle w:val="BodyText"/>
      </w:pPr>
    </w:p>
    <w:p w14:paraId="5DFD0F7D" w14:textId="77777777" w:rsidR="00275403" w:rsidRDefault="00275403" w:rsidP="00DD5609">
      <w:pPr>
        <w:pStyle w:val="Heading1Numbered"/>
        <w:sectPr w:rsidR="00275403" w:rsidSect="00767381">
          <w:pgSz w:w="11906" w:h="16838" w:code="9"/>
          <w:pgMar w:top="1418" w:right="1928" w:bottom="1247" w:left="1077" w:header="624" w:footer="510" w:gutter="0"/>
          <w:cols w:space="708"/>
          <w:docGrid w:linePitch="360"/>
        </w:sectPr>
      </w:pPr>
    </w:p>
    <w:p w14:paraId="23BF1222" w14:textId="3BFC7AB4" w:rsidR="008118B8" w:rsidRPr="00CC12DF" w:rsidRDefault="008118B8" w:rsidP="004C1E2A">
      <w:pPr>
        <w:pStyle w:val="Heading1Numbered"/>
        <w:ind w:left="0"/>
        <w:rPr>
          <w:color w:val="002060"/>
          <w:sz w:val="52"/>
          <w:szCs w:val="24"/>
        </w:rPr>
      </w:pPr>
      <w:bookmarkStart w:id="7" w:name="_Toc230249751"/>
      <w:r w:rsidRPr="00CC12DF">
        <w:rPr>
          <w:color w:val="002060"/>
          <w:sz w:val="52"/>
          <w:szCs w:val="24"/>
        </w:rPr>
        <w:lastRenderedPageBreak/>
        <w:t xml:space="preserve">Annual reporting and </w:t>
      </w:r>
      <w:r w:rsidR="00171ABE" w:rsidRPr="00CC12DF">
        <w:rPr>
          <w:color w:val="002060"/>
          <w:sz w:val="52"/>
          <w:szCs w:val="24"/>
        </w:rPr>
        <w:t>a</w:t>
      </w:r>
      <w:r w:rsidRPr="00CC12DF">
        <w:rPr>
          <w:color w:val="002060"/>
          <w:sz w:val="52"/>
          <w:szCs w:val="24"/>
        </w:rPr>
        <w:t>ccounts</w:t>
      </w:r>
      <w:bookmarkEnd w:id="7"/>
    </w:p>
    <w:p w14:paraId="05EC302B" w14:textId="79FCA71D" w:rsidR="00171ABE" w:rsidRPr="00AB43D1" w:rsidRDefault="00171ABE" w:rsidP="00171ABE">
      <w:pPr>
        <w:pStyle w:val="Heading2Numbered"/>
        <w:spacing w:before="360"/>
        <w:ind w:left="0"/>
        <w:rPr>
          <w:color w:val="002060"/>
        </w:rPr>
      </w:pPr>
      <w:bookmarkStart w:id="8" w:name="_Toc230249752"/>
      <w:r w:rsidRPr="00AB43D1">
        <w:rPr>
          <w:color w:val="002060"/>
        </w:rPr>
        <w:t>Reporting</w:t>
      </w:r>
      <w:bookmarkEnd w:id="8"/>
    </w:p>
    <w:p w14:paraId="27ADF6AF" w14:textId="2EC1517D" w:rsidR="00761A9C" w:rsidRPr="00761A9C" w:rsidRDefault="00761A9C" w:rsidP="0070678C">
      <w:pPr>
        <w:pStyle w:val="Heading3Numbered"/>
      </w:pPr>
      <w:r w:rsidRPr="00637C6A">
        <w:rPr>
          <w:color w:val="auto"/>
        </w:rPr>
        <w:t xml:space="preserve">The Chief Executive Officer, on behalf of the Board will </w:t>
      </w:r>
      <w:r w:rsidRPr="00637C6A">
        <w:t>ensure the ICB, in each financial year, prepares a report on how it has discharged its functions in the previous financial year.</w:t>
      </w:r>
    </w:p>
    <w:p w14:paraId="1F276A06" w14:textId="7025D6C7" w:rsidR="00761A9C" w:rsidRPr="00761A9C" w:rsidRDefault="00761A9C" w:rsidP="0070678C">
      <w:pPr>
        <w:pStyle w:val="Heading3Numbered"/>
      </w:pPr>
      <w:r w:rsidRPr="00761A9C">
        <w:t>An annual report must</w:t>
      </w:r>
      <w:proofErr w:type="gramStart"/>
      <w:r w:rsidR="00637C6A">
        <w:t xml:space="preserve">, </w:t>
      </w:r>
      <w:r w:rsidRPr="00761A9C">
        <w:t>in particular, explain</w:t>
      </w:r>
      <w:proofErr w:type="gramEnd"/>
      <w:r w:rsidRPr="00761A9C">
        <w:t xml:space="preserve"> how the ICB has:</w:t>
      </w:r>
    </w:p>
    <w:p w14:paraId="461B2FD0" w14:textId="77777777" w:rsidR="00761A9C" w:rsidRPr="00761A9C" w:rsidRDefault="00761A9C" w:rsidP="00637C6A">
      <w:pPr>
        <w:pStyle w:val="BodyText"/>
        <w:numPr>
          <w:ilvl w:val="0"/>
          <w:numId w:val="15"/>
        </w:numPr>
        <w:spacing w:before="240" w:after="120" w:line="240" w:lineRule="auto"/>
        <w:ind w:left="992" w:hanging="357"/>
      </w:pPr>
      <w:r w:rsidRPr="00761A9C">
        <w:t>discharged its duties in relating to improving quality of services, reducing inequalities, the triple aim and public involvement;</w:t>
      </w:r>
    </w:p>
    <w:p w14:paraId="1C060AEB" w14:textId="77777777" w:rsidR="00761A9C" w:rsidRPr="00761A9C" w:rsidRDefault="00761A9C" w:rsidP="00637C6A">
      <w:pPr>
        <w:pStyle w:val="BodyText"/>
        <w:numPr>
          <w:ilvl w:val="0"/>
          <w:numId w:val="15"/>
        </w:numPr>
        <w:spacing w:before="240" w:after="120" w:line="240" w:lineRule="auto"/>
        <w:ind w:left="992" w:hanging="357"/>
      </w:pPr>
      <w:r w:rsidRPr="00761A9C">
        <w:t xml:space="preserve">review the extent to which the Board has exercised its functions in accordance with its published 5 year forward plan and capital resource use plan; and </w:t>
      </w:r>
    </w:p>
    <w:p w14:paraId="2EDD905F" w14:textId="77777777" w:rsidR="00761A9C" w:rsidRPr="00761A9C" w:rsidRDefault="00761A9C" w:rsidP="00637C6A">
      <w:pPr>
        <w:pStyle w:val="BodyText"/>
        <w:numPr>
          <w:ilvl w:val="0"/>
          <w:numId w:val="15"/>
        </w:numPr>
        <w:spacing w:before="240" w:after="120" w:line="240" w:lineRule="auto"/>
        <w:ind w:left="992" w:hanging="357"/>
      </w:pPr>
      <w:r w:rsidRPr="00761A9C">
        <w:t>review any steps that the Board has taken to implement any joint local health and wellbeing strategy.</w:t>
      </w:r>
    </w:p>
    <w:p w14:paraId="49F28440" w14:textId="31666CC7" w:rsidR="00A94122" w:rsidRDefault="00A94122" w:rsidP="0070678C">
      <w:pPr>
        <w:pStyle w:val="Heading3Numbered"/>
      </w:pPr>
      <w:r>
        <w:t xml:space="preserve">The </w:t>
      </w:r>
      <w:r w:rsidR="00220CAE" w:rsidRPr="00AE7F87">
        <w:t xml:space="preserve">Chief </w:t>
      </w:r>
      <w:r w:rsidR="00220CAE" w:rsidRPr="00761A9C">
        <w:rPr>
          <w:color w:val="auto"/>
        </w:rPr>
        <w:t>Finance</w:t>
      </w:r>
      <w:r w:rsidR="00220CAE" w:rsidRPr="00AE7F87">
        <w:rPr>
          <w:color w:val="FF0000"/>
        </w:rPr>
        <w:t xml:space="preserve"> </w:t>
      </w:r>
      <w:r w:rsidR="00220CAE" w:rsidRPr="00AE7F87">
        <w:t>Officer</w:t>
      </w:r>
      <w:r>
        <w:t xml:space="preserve"> will ensure, on behalf of the </w:t>
      </w:r>
      <w:r w:rsidR="00AB43D1">
        <w:rPr>
          <w:color w:val="auto"/>
        </w:rPr>
        <w:t>Chief Executive</w:t>
      </w:r>
      <w:r w:rsidRPr="00761A9C">
        <w:rPr>
          <w:color w:val="auto"/>
        </w:rPr>
        <w:t xml:space="preserve"> and </w:t>
      </w:r>
      <w:r w:rsidR="0032611D">
        <w:t xml:space="preserve">Board </w:t>
      </w:r>
      <w:r>
        <w:t>that</w:t>
      </w:r>
      <w:r w:rsidR="00761A9C">
        <w:t xml:space="preserve"> </w:t>
      </w:r>
      <w:r w:rsidRPr="00F64C52">
        <w:t xml:space="preserve">the ICB </w:t>
      </w:r>
      <w:proofErr w:type="gramStart"/>
      <w:r w:rsidRPr="00F64C52">
        <w:t>is</w:t>
      </w:r>
      <w:r>
        <w:t xml:space="preserve"> in a </w:t>
      </w:r>
      <w:r w:rsidRPr="00F64C52">
        <w:t>position to</w:t>
      </w:r>
      <w:proofErr w:type="gramEnd"/>
      <w:r w:rsidRPr="00F64C52">
        <w:t xml:space="preserve"> produce its required monthly reporti</w:t>
      </w:r>
      <w:r w:rsidRPr="00AE7F87">
        <w:t>ng, annual report</w:t>
      </w:r>
      <w:r w:rsidRPr="00F64C52">
        <w:t>, and accounts</w:t>
      </w:r>
      <w:r w:rsidR="00761A9C">
        <w:t>.</w:t>
      </w:r>
      <w:r w:rsidRPr="00F64C52">
        <w:t xml:space="preserve"> </w:t>
      </w:r>
    </w:p>
    <w:p w14:paraId="17B2423C" w14:textId="18C99C14" w:rsidR="008118B8" w:rsidRPr="00777419" w:rsidRDefault="008118B8" w:rsidP="0070678C">
      <w:pPr>
        <w:pStyle w:val="Heading3Numbered"/>
      </w:pPr>
      <w:r w:rsidRPr="00777419">
        <w:t xml:space="preserve">NHS England </w:t>
      </w:r>
      <w:r w:rsidR="00781DE1" w:rsidRPr="00637C6A">
        <w:rPr>
          <w:color w:val="auto"/>
        </w:rPr>
        <w:t xml:space="preserve">will </w:t>
      </w:r>
      <w:r w:rsidRPr="00637C6A">
        <w:rPr>
          <w:color w:val="auto"/>
        </w:rPr>
        <w:t xml:space="preserve">give </w:t>
      </w:r>
      <w:r w:rsidR="00781DE1" w:rsidRPr="00637C6A">
        <w:rPr>
          <w:color w:val="auto"/>
        </w:rPr>
        <w:t xml:space="preserve">annual </w:t>
      </w:r>
      <w:r w:rsidRPr="00777419">
        <w:t xml:space="preserve">directions to the ICB as to the form and content of an annual report. </w:t>
      </w:r>
    </w:p>
    <w:p w14:paraId="2CA3A6A1" w14:textId="522FC829" w:rsidR="008118B8" w:rsidRPr="00777419" w:rsidRDefault="008118B8" w:rsidP="0070678C">
      <w:pPr>
        <w:pStyle w:val="Heading3Numbered"/>
      </w:pPr>
      <w:r w:rsidRPr="00777419">
        <w:t>The ICB must give a copy of its annual report to NHS England by the date specified by NHS England in a direction and publish the report.</w:t>
      </w:r>
    </w:p>
    <w:p w14:paraId="774F1881" w14:textId="77777777" w:rsidR="008118B8" w:rsidRPr="00AB43D1" w:rsidRDefault="008118B8" w:rsidP="00171ABE">
      <w:pPr>
        <w:pStyle w:val="Heading2Numbered"/>
        <w:spacing w:before="360"/>
        <w:ind w:left="0"/>
        <w:rPr>
          <w:color w:val="002060"/>
        </w:rPr>
      </w:pPr>
      <w:bookmarkStart w:id="9" w:name="_Toc230249753"/>
      <w:r w:rsidRPr="00AB43D1">
        <w:rPr>
          <w:color w:val="002060"/>
        </w:rPr>
        <w:t>Internal audit</w:t>
      </w:r>
      <w:bookmarkEnd w:id="9"/>
    </w:p>
    <w:p w14:paraId="306BF2EB" w14:textId="626AEE12" w:rsidR="008118B8" w:rsidRDefault="008118B8" w:rsidP="008118B8">
      <w:pPr>
        <w:pStyle w:val="BodyText"/>
      </w:pPr>
      <w:r>
        <w:t xml:space="preserve">The </w:t>
      </w:r>
      <w:r w:rsidR="00A34BC6">
        <w:t>C</w:t>
      </w:r>
      <w:r>
        <w:t xml:space="preserve">hief </w:t>
      </w:r>
      <w:r w:rsidR="00A34BC6">
        <w:t>E</w:t>
      </w:r>
      <w:r>
        <w:t>xecutive</w:t>
      </w:r>
      <w:r w:rsidR="006B2054">
        <w:t xml:space="preserve"> </w:t>
      </w:r>
      <w:r w:rsidR="006B2054" w:rsidRPr="00FC02FE">
        <w:t>Officer</w:t>
      </w:r>
      <w:r>
        <w:t xml:space="preserve">, as the </w:t>
      </w:r>
      <w:r w:rsidR="00AB43D1">
        <w:t>Chief Executive</w:t>
      </w:r>
      <w:r>
        <w:t xml:space="preserve">, is responsible for ensuring there is appropriate internal audit provision in the ICB. </w:t>
      </w:r>
      <w:r w:rsidR="00A34BC6">
        <w:t xml:space="preserve"> </w:t>
      </w:r>
      <w:r>
        <w:t xml:space="preserve">For operational purposes, this responsibility is delegated to the </w:t>
      </w:r>
      <w:r w:rsidR="00220CAE">
        <w:t>Chief Finance Officer</w:t>
      </w:r>
      <w:r>
        <w:t xml:space="preserve"> to ensure that:</w:t>
      </w:r>
    </w:p>
    <w:p w14:paraId="3852E422" w14:textId="0C1568BA" w:rsidR="008118B8" w:rsidRDefault="008118B8" w:rsidP="00215372">
      <w:pPr>
        <w:pStyle w:val="BodyText"/>
        <w:numPr>
          <w:ilvl w:val="0"/>
          <w:numId w:val="21"/>
        </w:numPr>
        <w:spacing w:before="240" w:after="120" w:line="240" w:lineRule="auto"/>
        <w:ind w:left="993" w:hanging="357"/>
      </w:pPr>
      <w:r>
        <w:t xml:space="preserve">all internal audit services provided under arrangements proposed by the </w:t>
      </w:r>
      <w:r w:rsidR="00220CAE">
        <w:t>Chief Finance Officer</w:t>
      </w:r>
      <w:r>
        <w:t xml:space="preserve"> are approved by the </w:t>
      </w:r>
      <w:r w:rsidRPr="007F5A5E">
        <w:t>Audit Committee</w:t>
      </w:r>
      <w:r>
        <w:t xml:space="preserve">, on behalf of the </w:t>
      </w:r>
      <w:r w:rsidR="0032611D">
        <w:t>Board</w:t>
      </w:r>
      <w:r>
        <w:t>;</w:t>
      </w:r>
    </w:p>
    <w:p w14:paraId="210541F3" w14:textId="70191B4B" w:rsidR="008118B8" w:rsidRDefault="008118B8" w:rsidP="00215372">
      <w:pPr>
        <w:pStyle w:val="BodyText"/>
        <w:numPr>
          <w:ilvl w:val="0"/>
          <w:numId w:val="21"/>
        </w:numPr>
        <w:spacing w:before="240" w:after="120" w:line="240" w:lineRule="auto"/>
        <w:ind w:left="993" w:hanging="357"/>
      </w:pPr>
      <w:r>
        <w:t xml:space="preserve">the ICB internal audit </w:t>
      </w:r>
      <w:r w:rsidRPr="006A1214">
        <w:t>annual audit plan</w:t>
      </w:r>
      <w:r>
        <w:t xml:space="preserve">, must be endorsed by the ICB </w:t>
      </w:r>
      <w:r w:rsidR="00AB43D1">
        <w:t>Chief Executive</w:t>
      </w:r>
      <w:r>
        <w:t xml:space="preserve">, </w:t>
      </w:r>
      <w:r w:rsidR="00781DE1">
        <w:t>A</w:t>
      </w:r>
      <w:r>
        <w:t xml:space="preserve">udit </w:t>
      </w:r>
      <w:r w:rsidR="00781DE1">
        <w:t>C</w:t>
      </w:r>
      <w:r>
        <w:t xml:space="preserve">ommittee and </w:t>
      </w:r>
      <w:r w:rsidR="00B6612B">
        <w:t>B</w:t>
      </w:r>
      <w:r>
        <w:t>oard;</w:t>
      </w:r>
    </w:p>
    <w:p w14:paraId="61BFD533" w14:textId="72E8D424" w:rsidR="008118B8" w:rsidRDefault="008118B8" w:rsidP="00215372">
      <w:pPr>
        <w:pStyle w:val="BodyText"/>
        <w:numPr>
          <w:ilvl w:val="0"/>
          <w:numId w:val="21"/>
        </w:numPr>
        <w:spacing w:before="240" w:after="120" w:line="240" w:lineRule="auto"/>
        <w:ind w:left="993" w:hanging="357"/>
      </w:pPr>
      <w:r>
        <w:t xml:space="preserve">the head of internal audit must provide an annual opinion on the overall adequacy and effectiveness of the </w:t>
      </w:r>
      <w:r w:rsidR="0032611D">
        <w:t>Board</w:t>
      </w:r>
      <w:r>
        <w:t xml:space="preserve">’s framework of governance, risk </w:t>
      </w:r>
      <w:r>
        <w:lastRenderedPageBreak/>
        <w:t>management and internal control as they operated during the year, based on a systematic review and evaluation;</w:t>
      </w:r>
    </w:p>
    <w:p w14:paraId="17630223" w14:textId="40F1193A" w:rsidR="008118B8" w:rsidRDefault="008118B8" w:rsidP="00215372">
      <w:pPr>
        <w:pStyle w:val="BodyText"/>
        <w:numPr>
          <w:ilvl w:val="0"/>
          <w:numId w:val="21"/>
        </w:numPr>
        <w:spacing w:before="240" w:after="120" w:line="240" w:lineRule="auto"/>
        <w:ind w:left="993" w:hanging="357"/>
      </w:pPr>
      <w:r>
        <w:t xml:space="preserve">the head of internal audit should attend </w:t>
      </w:r>
      <w:r w:rsidR="00AB43D1">
        <w:t>Audit Committee</w:t>
      </w:r>
      <w:r w:rsidR="00781DE1">
        <w:t xml:space="preserve"> </w:t>
      </w:r>
      <w:r>
        <w:t xml:space="preserve">meetings and have a right of access to all audit and risk assurance committee members, the Chair and </w:t>
      </w:r>
      <w:r w:rsidR="00862170">
        <w:t>C</w:t>
      </w:r>
      <w:r>
        <w:t xml:space="preserve">hief </w:t>
      </w:r>
      <w:r w:rsidR="00862170">
        <w:t>E</w:t>
      </w:r>
      <w:r>
        <w:t>xecutive of the ICB.</w:t>
      </w:r>
    </w:p>
    <w:p w14:paraId="4C55AED0" w14:textId="77777777" w:rsidR="008118B8" w:rsidRDefault="008118B8" w:rsidP="00215372">
      <w:pPr>
        <w:pStyle w:val="BodyText"/>
        <w:numPr>
          <w:ilvl w:val="0"/>
          <w:numId w:val="21"/>
        </w:numPr>
        <w:spacing w:before="240" w:after="120" w:line="240" w:lineRule="auto"/>
        <w:ind w:left="993" w:hanging="357"/>
      </w:pPr>
      <w:r w:rsidRPr="00F64C52">
        <w:t>the appropriate and effective financial control arrangements are in place for the ICB and that accepted internal and external audit recommendations are actioned in a timely manner.</w:t>
      </w:r>
    </w:p>
    <w:p w14:paraId="2DDE7645" w14:textId="7A109876" w:rsidR="00AB43D1" w:rsidRDefault="00D45D49" w:rsidP="00AB43D1">
      <w:pPr>
        <w:pStyle w:val="ListParagraph"/>
        <w:numPr>
          <w:ilvl w:val="0"/>
          <w:numId w:val="21"/>
        </w:numPr>
        <w:spacing w:line="276" w:lineRule="auto"/>
      </w:pPr>
      <w:r>
        <w:t>R</w:t>
      </w:r>
      <w:r w:rsidR="00AB43D1" w:rsidRPr="00AB43D1">
        <w:t xml:space="preserve">eporting for Internal Audit shall be agreed between the Chief Finance </w:t>
      </w:r>
      <w:r w:rsidR="00AB43D1" w:rsidRPr="003D0818">
        <w:t>Officer, the Audit Committee and the</w:t>
      </w:r>
      <w:r w:rsidR="00AB43D1">
        <w:t xml:space="preserve"> Head of Internal Audit</w:t>
      </w:r>
      <w:r w:rsidR="00391498">
        <w:t xml:space="preserve">; and </w:t>
      </w:r>
      <w:r w:rsidR="00AB43D1">
        <w:t xml:space="preserve">shall comply with the guidance on reporting contained in the NHS Internal Audit Standards. </w:t>
      </w:r>
    </w:p>
    <w:p w14:paraId="0E2B666D" w14:textId="77777777" w:rsidR="00AB43D1" w:rsidRDefault="00AB43D1" w:rsidP="00AB43D1">
      <w:pPr>
        <w:pStyle w:val="BodyText"/>
        <w:spacing w:before="240" w:after="120" w:line="240" w:lineRule="auto"/>
        <w:ind w:left="993"/>
      </w:pPr>
    </w:p>
    <w:p w14:paraId="5369803E" w14:textId="05169781" w:rsidR="008118B8" w:rsidRPr="00AB43D1" w:rsidRDefault="008118B8" w:rsidP="00171ABE">
      <w:pPr>
        <w:pStyle w:val="Heading2Numbered"/>
        <w:ind w:left="0"/>
        <w:rPr>
          <w:color w:val="002060"/>
        </w:rPr>
      </w:pPr>
      <w:bookmarkStart w:id="10" w:name="_Toc230249754"/>
      <w:r w:rsidRPr="00AB43D1">
        <w:rPr>
          <w:color w:val="002060"/>
        </w:rPr>
        <w:t xml:space="preserve">External </w:t>
      </w:r>
      <w:r w:rsidR="006F40AA" w:rsidRPr="00AB43D1">
        <w:rPr>
          <w:color w:val="002060"/>
        </w:rPr>
        <w:t>a</w:t>
      </w:r>
      <w:r w:rsidRPr="00AB43D1">
        <w:rPr>
          <w:color w:val="002060"/>
        </w:rPr>
        <w:t>udit</w:t>
      </w:r>
      <w:bookmarkEnd w:id="10"/>
    </w:p>
    <w:p w14:paraId="1169AE2E" w14:textId="22C5ABE9" w:rsidR="008118B8" w:rsidRDefault="008118B8" w:rsidP="008118B8">
      <w:pPr>
        <w:pStyle w:val="BodyText"/>
      </w:pPr>
      <w:r w:rsidRPr="00F64C52">
        <w:t xml:space="preserve">The </w:t>
      </w:r>
      <w:r w:rsidR="00220CAE">
        <w:t>Chief Finance Officer</w:t>
      </w:r>
      <w:r w:rsidRPr="00F64C52">
        <w:t xml:space="preserve"> is responsible for</w:t>
      </w:r>
      <w:r>
        <w:t>:</w:t>
      </w:r>
      <w:r w:rsidR="00781DE1">
        <w:t xml:space="preserve"> </w:t>
      </w:r>
    </w:p>
    <w:p w14:paraId="1E4BE485" w14:textId="77777777" w:rsidR="008118B8" w:rsidRDefault="008118B8" w:rsidP="008118B8">
      <w:pPr>
        <w:pStyle w:val="BodyText"/>
        <w:numPr>
          <w:ilvl w:val="0"/>
          <w:numId w:val="16"/>
        </w:numPr>
        <w:spacing w:before="240" w:after="120" w:line="240" w:lineRule="auto"/>
        <w:ind w:left="993" w:hanging="357"/>
      </w:pPr>
      <w:r>
        <w:t>liaising with external audit colleagues to ensure timely delivery of financial statements for audit and publication in accordance with statutory, regulatory requirements;</w:t>
      </w:r>
    </w:p>
    <w:p w14:paraId="608A7292" w14:textId="0454825B" w:rsidR="008118B8" w:rsidRPr="00EA439D" w:rsidRDefault="008118B8" w:rsidP="008118B8">
      <w:pPr>
        <w:pStyle w:val="BodyText"/>
        <w:numPr>
          <w:ilvl w:val="0"/>
          <w:numId w:val="16"/>
        </w:numPr>
        <w:spacing w:before="240" w:after="120" w:line="240" w:lineRule="auto"/>
        <w:ind w:left="993" w:hanging="357"/>
      </w:pPr>
      <w:r w:rsidRPr="00EA439D">
        <w:t xml:space="preserve">ensuring that the ICB appoints </w:t>
      </w:r>
      <w:r w:rsidRPr="00592879">
        <w:t xml:space="preserve">an auditor in accordance with the Local Audit and Accountability Act 2014; in particular, the ICB must appoint </w:t>
      </w:r>
      <w:r w:rsidRPr="00EA439D">
        <w:t>a local auditor to audit its accounts for a financial year not later than 31 December in the preceding financial year; the ICB must appoint a local auditor at least once every 5 years</w:t>
      </w:r>
      <w:r>
        <w:t xml:space="preserve"> </w:t>
      </w:r>
      <w:r w:rsidRPr="00EA439D">
        <w:t>and</w:t>
      </w:r>
    </w:p>
    <w:p w14:paraId="5285CB0E" w14:textId="77777777" w:rsidR="008118B8" w:rsidRDefault="008118B8" w:rsidP="008118B8">
      <w:pPr>
        <w:pStyle w:val="BodyText"/>
        <w:numPr>
          <w:ilvl w:val="0"/>
          <w:numId w:val="16"/>
        </w:numPr>
        <w:spacing w:before="240" w:after="120" w:line="240" w:lineRule="auto"/>
        <w:ind w:left="993" w:hanging="357"/>
        <w:sectPr w:rsidR="008118B8" w:rsidSect="00767381">
          <w:pgSz w:w="11906" w:h="16838" w:code="9"/>
          <w:pgMar w:top="1418" w:right="1928" w:bottom="1247" w:left="1077" w:header="624" w:footer="510" w:gutter="0"/>
          <w:cols w:space="708"/>
          <w:docGrid w:linePitch="360"/>
        </w:sectPr>
      </w:pPr>
      <w:r>
        <w:t xml:space="preserve">ensuring that </w:t>
      </w:r>
      <w:r w:rsidRPr="00242EB6">
        <w:t>the appropriate and effective financial control arrangements are in place for the ICB and that accepted external audit recommendations are actioned in a timely manner.</w:t>
      </w:r>
    </w:p>
    <w:p w14:paraId="4D349402" w14:textId="77777777" w:rsidR="00336F62" w:rsidRPr="00CC12DF" w:rsidRDefault="00336F62" w:rsidP="004C1E2A">
      <w:pPr>
        <w:pStyle w:val="Heading1Numbered"/>
        <w:ind w:left="0"/>
        <w:rPr>
          <w:color w:val="002060"/>
          <w:sz w:val="52"/>
          <w:szCs w:val="24"/>
        </w:rPr>
      </w:pPr>
      <w:bookmarkStart w:id="11" w:name="_Toc230249755"/>
      <w:r w:rsidRPr="00CC12DF">
        <w:rPr>
          <w:color w:val="002060"/>
          <w:sz w:val="52"/>
          <w:szCs w:val="24"/>
        </w:rPr>
        <w:lastRenderedPageBreak/>
        <w:t>Financial systems and processes</w:t>
      </w:r>
      <w:bookmarkEnd w:id="11"/>
    </w:p>
    <w:p w14:paraId="751EE0EF" w14:textId="77777777" w:rsidR="00336F62" w:rsidRPr="00AB43D1" w:rsidRDefault="00336F62" w:rsidP="00171ABE">
      <w:pPr>
        <w:pStyle w:val="Heading2Numbered"/>
        <w:ind w:left="0"/>
        <w:rPr>
          <w:color w:val="002060"/>
        </w:rPr>
      </w:pPr>
      <w:bookmarkStart w:id="12" w:name="_Toc230249756"/>
      <w:r w:rsidRPr="00AB43D1">
        <w:rPr>
          <w:color w:val="002060"/>
        </w:rPr>
        <w:t>Provision of finance systems</w:t>
      </w:r>
      <w:bookmarkEnd w:id="12"/>
      <w:r w:rsidRPr="00AB43D1">
        <w:rPr>
          <w:color w:val="002060"/>
        </w:rPr>
        <w:t xml:space="preserve"> </w:t>
      </w:r>
    </w:p>
    <w:p w14:paraId="71FEB865" w14:textId="29666071" w:rsidR="002B5C82" w:rsidRPr="000179D6" w:rsidRDefault="002B5C82" w:rsidP="0070678C">
      <w:pPr>
        <w:pStyle w:val="Heading3Numbered"/>
      </w:pPr>
      <w:r w:rsidRPr="000179D6">
        <w:t>To be read in conjunction with section 1</w:t>
      </w:r>
      <w:r w:rsidR="00D36878" w:rsidRPr="000179D6">
        <w:t>6</w:t>
      </w:r>
      <w:r w:rsidRPr="000179D6">
        <w:t xml:space="preserve"> – Digital.</w:t>
      </w:r>
    </w:p>
    <w:p w14:paraId="3CA82F01" w14:textId="78661BAF" w:rsidR="00336F62" w:rsidRDefault="00336F62" w:rsidP="0070678C">
      <w:pPr>
        <w:pStyle w:val="Heading3Numbered"/>
      </w:pPr>
      <w:r>
        <w:t xml:space="preserve">The </w:t>
      </w:r>
      <w:r w:rsidR="00220CAE">
        <w:t>Chief Finance Officer</w:t>
      </w:r>
      <w:r>
        <w:t xml:space="preserve"> is responsible for ensuring systems and processes are designed and maintained for the recording and verification of finance transactions such as payments and receivables for the ICB.</w:t>
      </w:r>
    </w:p>
    <w:p w14:paraId="1B200EB6" w14:textId="7D47EFB1" w:rsidR="00336F62" w:rsidRDefault="00336F62" w:rsidP="0070678C">
      <w:pPr>
        <w:pStyle w:val="Heading3Numbered"/>
      </w:pPr>
      <w:r>
        <w:t xml:space="preserve"> The systems and processes will ensure</w:t>
      </w:r>
      <w:r w:rsidRPr="00AE7F87">
        <w:rPr>
          <w:color w:val="auto"/>
        </w:rPr>
        <w:t xml:space="preserve">, </w:t>
      </w:r>
      <w:r>
        <w:t xml:space="preserve">that payment for goods and services is made in accordance with the provisions of these SFIs, related procurement guidance and prompt payment practice. </w:t>
      </w:r>
      <w:r w:rsidR="00781DE1">
        <w:t xml:space="preserve"> </w:t>
      </w:r>
    </w:p>
    <w:p w14:paraId="6C972B7E" w14:textId="1A393E54" w:rsidR="00781DE1" w:rsidRPr="00FC02FE" w:rsidRDefault="00781DE1" w:rsidP="0070678C">
      <w:pPr>
        <w:pStyle w:val="Heading3Numbered"/>
      </w:pPr>
      <w:r w:rsidRPr="00FC02FE">
        <w:t>The required accounting system for use by ICBs is the Integrated Single Financial Environment (“ISFE</w:t>
      </w:r>
      <w:r w:rsidR="00AB43D1">
        <w:t>2</w:t>
      </w:r>
      <w:r w:rsidRPr="00FC02FE">
        <w:t>”)</w:t>
      </w:r>
      <w:r w:rsidR="00196E41" w:rsidRPr="00FC02FE">
        <w:t>.</w:t>
      </w:r>
      <w:r w:rsidRPr="00FC02FE">
        <w:t xml:space="preserve"> </w:t>
      </w:r>
    </w:p>
    <w:p w14:paraId="37E10B53" w14:textId="7413212B" w:rsidR="00336F62" w:rsidRDefault="00336F62" w:rsidP="0070678C">
      <w:pPr>
        <w:pStyle w:val="Heading3Numbered"/>
      </w:pPr>
      <w:r w:rsidRPr="00B736CB">
        <w:t xml:space="preserve"> Access </w:t>
      </w:r>
      <w:r w:rsidR="00781DE1" w:rsidRPr="00574B74">
        <w:rPr>
          <w:color w:val="auto"/>
        </w:rPr>
        <w:t xml:space="preserve">will be granted to ICB employees </w:t>
      </w:r>
      <w:r w:rsidRPr="00B736CB">
        <w:t>to enable users to perform core accounting functions such as to transacting and coding of expenditure/income in fulfilment of their roles</w:t>
      </w:r>
      <w:r>
        <w:t xml:space="preserve">. </w:t>
      </w:r>
    </w:p>
    <w:p w14:paraId="4F7C3343" w14:textId="6D93B584" w:rsidR="00336F62" w:rsidRDefault="00336F62" w:rsidP="0070678C">
      <w:pPr>
        <w:pStyle w:val="Heading3Numbered"/>
      </w:pPr>
      <w:r>
        <w:t xml:space="preserve">The </w:t>
      </w:r>
      <w:r w:rsidR="00220CAE">
        <w:t>Chief Finance Officer</w:t>
      </w:r>
      <w:r>
        <w:t xml:space="preserve"> will, in relation to financial systems:</w:t>
      </w:r>
    </w:p>
    <w:p w14:paraId="6AC76F73" w14:textId="77777777" w:rsidR="00336F62" w:rsidRDefault="00336F62" w:rsidP="00336F62">
      <w:pPr>
        <w:pStyle w:val="ListParagraph"/>
        <w:numPr>
          <w:ilvl w:val="0"/>
          <w:numId w:val="13"/>
        </w:numPr>
        <w:spacing w:before="240" w:after="120"/>
      </w:pPr>
      <w:r w:rsidRPr="00623063">
        <w:t>promote awareness and understanding of financial</w:t>
      </w:r>
      <w:r>
        <w:t xml:space="preserve"> systems, </w:t>
      </w:r>
      <w:r w:rsidRPr="00623063">
        <w:t>value for money and commercial issues</w:t>
      </w:r>
      <w:r>
        <w:t>;</w:t>
      </w:r>
    </w:p>
    <w:p w14:paraId="000B6E04" w14:textId="77777777" w:rsidR="00336F62" w:rsidRDefault="00336F62" w:rsidP="00336F62">
      <w:pPr>
        <w:pStyle w:val="ListParagraph"/>
        <w:spacing w:before="240" w:after="120"/>
      </w:pPr>
    </w:p>
    <w:p w14:paraId="51883DD5" w14:textId="624D38D5" w:rsidR="00336F62" w:rsidRPr="00522065" w:rsidRDefault="00336F62" w:rsidP="00336F62">
      <w:pPr>
        <w:pStyle w:val="ListParagraph"/>
        <w:numPr>
          <w:ilvl w:val="0"/>
          <w:numId w:val="13"/>
        </w:numPr>
        <w:spacing w:before="240" w:after="120"/>
      </w:pPr>
      <w:r w:rsidRPr="00522065">
        <w:t>ensure that transacting is carried out efficiently in line with current best practice</w:t>
      </w:r>
      <w:r w:rsidR="00862170">
        <w:t>;</w:t>
      </w:r>
      <w:r w:rsidRPr="00522065">
        <w:t xml:space="preserve"> </w:t>
      </w:r>
    </w:p>
    <w:p w14:paraId="72B8FEED" w14:textId="77777777" w:rsidR="00336F62" w:rsidRDefault="00336F62" w:rsidP="00336F62">
      <w:pPr>
        <w:pStyle w:val="BodyText"/>
        <w:numPr>
          <w:ilvl w:val="0"/>
          <w:numId w:val="13"/>
        </w:numPr>
        <w:spacing w:before="240" w:after="120" w:line="240" w:lineRule="auto"/>
      </w:pPr>
      <w:r w:rsidRPr="00623063">
        <w:t xml:space="preserve">ensure that the ICB meets the required financial and governance </w:t>
      </w:r>
      <w:r>
        <w:t xml:space="preserve">reporting requirements </w:t>
      </w:r>
      <w:r w:rsidRPr="00623063">
        <w:t>as a statutory body</w:t>
      </w:r>
      <w:r>
        <w:t xml:space="preserve"> by the effective use of finance systems;</w:t>
      </w:r>
    </w:p>
    <w:p w14:paraId="3E18BCD0" w14:textId="77777777" w:rsidR="00336F62" w:rsidRDefault="00336F62" w:rsidP="00336F62">
      <w:pPr>
        <w:pStyle w:val="BodyText"/>
        <w:numPr>
          <w:ilvl w:val="0"/>
          <w:numId w:val="13"/>
        </w:numPr>
        <w:spacing w:before="240" w:after="120" w:line="240" w:lineRule="auto"/>
      </w:pPr>
      <w:r w:rsidRPr="002833CC">
        <w:t xml:space="preserve">enable the prevention and the detection of inaccuracies and fraud, and the reconstitution of any lost records; </w:t>
      </w:r>
    </w:p>
    <w:p w14:paraId="561054FF" w14:textId="77777777" w:rsidR="00336F62" w:rsidRDefault="00336F62" w:rsidP="00336F62">
      <w:pPr>
        <w:pStyle w:val="BodyText"/>
        <w:numPr>
          <w:ilvl w:val="0"/>
          <w:numId w:val="13"/>
        </w:numPr>
        <w:spacing w:before="240" w:after="120" w:line="240" w:lineRule="auto"/>
      </w:pPr>
      <w:r w:rsidRPr="002833CC">
        <w:t>ensure that the financial transactions of the authority are recorded as soon as, and as accurately as, reasonably practicable</w:t>
      </w:r>
      <w:r>
        <w:t>;</w:t>
      </w:r>
    </w:p>
    <w:p w14:paraId="4B99A7E2" w14:textId="46E2E76E" w:rsidR="00336F62" w:rsidRDefault="00336F62" w:rsidP="00336F62">
      <w:pPr>
        <w:pStyle w:val="BodyText"/>
        <w:numPr>
          <w:ilvl w:val="0"/>
          <w:numId w:val="13"/>
        </w:numPr>
        <w:spacing w:before="240" w:after="120" w:line="240" w:lineRule="auto"/>
      </w:pPr>
      <w:r>
        <w:t>ensure</w:t>
      </w:r>
      <w:r w:rsidRPr="002D6ADF">
        <w:t xml:space="preserve"> </w:t>
      </w:r>
      <w:r>
        <w:t xml:space="preserve">publication and implementation of all </w:t>
      </w:r>
      <w:r w:rsidRPr="002D6ADF">
        <w:t>ICB business rules and ensur</w:t>
      </w:r>
      <w:r>
        <w:t>e</w:t>
      </w:r>
      <w:r w:rsidRPr="002D6ADF">
        <w:t xml:space="preserve"> that </w:t>
      </w:r>
      <w:r w:rsidRPr="00574B74">
        <w:rPr>
          <w:color w:val="auto"/>
        </w:rPr>
        <w:t xml:space="preserve">the </w:t>
      </w:r>
      <w:r w:rsidRPr="002D6ADF">
        <w:t>finance team is appropriately resourced to deliver all statutory functions of the ICB</w:t>
      </w:r>
      <w:r>
        <w:t>;</w:t>
      </w:r>
      <w:r w:rsidRPr="002833CC">
        <w:t xml:space="preserve"> </w:t>
      </w:r>
    </w:p>
    <w:p w14:paraId="60CA5C7F" w14:textId="77777777" w:rsidR="00336F62" w:rsidRDefault="00336F62" w:rsidP="00336F62">
      <w:pPr>
        <w:pStyle w:val="BodyText"/>
        <w:numPr>
          <w:ilvl w:val="0"/>
          <w:numId w:val="13"/>
        </w:numPr>
        <w:spacing w:before="240" w:after="120" w:line="240" w:lineRule="auto"/>
      </w:pPr>
      <w:r w:rsidRPr="002833CC">
        <w:t>ensure that risk is appropriately managed;</w:t>
      </w:r>
    </w:p>
    <w:p w14:paraId="4E4B5458" w14:textId="77777777" w:rsidR="00336F62" w:rsidRDefault="00336F62" w:rsidP="00336F62">
      <w:pPr>
        <w:pStyle w:val="BodyText"/>
        <w:numPr>
          <w:ilvl w:val="0"/>
          <w:numId w:val="13"/>
        </w:numPr>
        <w:spacing w:before="240" w:after="120" w:line="240" w:lineRule="auto"/>
      </w:pPr>
      <w:r>
        <w:t xml:space="preserve">ensure </w:t>
      </w:r>
      <w:r w:rsidRPr="002833CC">
        <w:t>identification of the duties of officers dealing with financial transactions and division of responsibilities of those officers</w:t>
      </w:r>
      <w:r>
        <w:t>;</w:t>
      </w:r>
    </w:p>
    <w:p w14:paraId="3AEF9680" w14:textId="77777777" w:rsidR="00336F62" w:rsidRDefault="00336F62" w:rsidP="00336F62">
      <w:pPr>
        <w:pStyle w:val="BodyText"/>
        <w:numPr>
          <w:ilvl w:val="0"/>
          <w:numId w:val="13"/>
        </w:numPr>
        <w:spacing w:before="240" w:after="120" w:line="240" w:lineRule="auto"/>
      </w:pPr>
      <w:r>
        <w:lastRenderedPageBreak/>
        <w:t>ensure the ICB has suitable financial and other software to enable it to comply with these policies and any consolidation requirements of the ICB;</w:t>
      </w:r>
    </w:p>
    <w:p w14:paraId="146D80DF" w14:textId="77777777" w:rsidR="00336F62" w:rsidRDefault="00336F62" w:rsidP="00336F62">
      <w:pPr>
        <w:pStyle w:val="BodyText"/>
        <w:numPr>
          <w:ilvl w:val="0"/>
          <w:numId w:val="13"/>
        </w:numPr>
        <w:spacing w:before="240" w:after="120" w:line="240" w:lineRule="auto"/>
      </w:pPr>
      <w:r>
        <w:t>ensure that contracts for computer services for financial applications with another health organisation or any other agency shall clearly define the responsibility of all parties for the security, privacy, accuracy, completeness, and timeliness of data during processing, transmission and storage. The contract should also ensure rights of access for audit purposes; and</w:t>
      </w:r>
    </w:p>
    <w:p w14:paraId="2898597E" w14:textId="3C468A01" w:rsidR="00336F62" w:rsidRDefault="00336F62" w:rsidP="00336F62">
      <w:pPr>
        <w:pStyle w:val="BodyText"/>
        <w:numPr>
          <w:ilvl w:val="0"/>
          <w:numId w:val="13"/>
        </w:numPr>
        <w:spacing w:before="240" w:after="120" w:line="240" w:lineRule="auto"/>
      </w:pPr>
      <w:r>
        <w:t xml:space="preserve">where another health organisation or any other agency provides a computer service for financial applications, the </w:t>
      </w:r>
      <w:r w:rsidR="00781DE1">
        <w:t>C</w:t>
      </w:r>
      <w:r>
        <w:t xml:space="preserve">hief </w:t>
      </w:r>
      <w:r w:rsidR="00781DE1">
        <w:t>F</w:t>
      </w:r>
      <w:r>
        <w:t xml:space="preserve">inance </w:t>
      </w:r>
      <w:r w:rsidR="00781DE1">
        <w:t>O</w:t>
      </w:r>
      <w:r>
        <w:t>fficer shall periodically seek assurances that adequate controls are in operation.</w:t>
      </w:r>
    </w:p>
    <w:p w14:paraId="68C7B81A" w14:textId="6EC52002" w:rsidR="0072512C" w:rsidRPr="00CC12DF" w:rsidRDefault="00D61E0B" w:rsidP="004C1E2A">
      <w:pPr>
        <w:pStyle w:val="Heading1Numbered"/>
        <w:ind w:left="0"/>
        <w:rPr>
          <w:color w:val="002060"/>
          <w:sz w:val="52"/>
          <w:szCs w:val="24"/>
        </w:rPr>
      </w:pPr>
      <w:bookmarkStart w:id="13" w:name="_Toc230249757"/>
      <w:r w:rsidRPr="00CC12DF">
        <w:rPr>
          <w:color w:val="002060"/>
          <w:sz w:val="52"/>
          <w:szCs w:val="24"/>
        </w:rPr>
        <w:lastRenderedPageBreak/>
        <w:t xml:space="preserve">Planning, </w:t>
      </w:r>
      <w:r w:rsidR="00275403" w:rsidRPr="00CC12DF">
        <w:rPr>
          <w:color w:val="002060"/>
          <w:sz w:val="52"/>
          <w:szCs w:val="24"/>
        </w:rPr>
        <w:t>Budget</w:t>
      </w:r>
      <w:r w:rsidR="002264EC" w:rsidRPr="00CC12DF">
        <w:rPr>
          <w:color w:val="002060"/>
          <w:sz w:val="52"/>
          <w:szCs w:val="24"/>
        </w:rPr>
        <w:t>s and</w:t>
      </w:r>
      <w:r w:rsidR="00901924" w:rsidRPr="00CC12DF">
        <w:rPr>
          <w:color w:val="002060"/>
          <w:sz w:val="52"/>
          <w:szCs w:val="24"/>
        </w:rPr>
        <w:t xml:space="preserve"> </w:t>
      </w:r>
      <w:r w:rsidR="002264EC" w:rsidRPr="00CC12DF">
        <w:rPr>
          <w:color w:val="002060"/>
          <w:sz w:val="52"/>
          <w:szCs w:val="24"/>
        </w:rPr>
        <w:t>Budgetary Control</w:t>
      </w:r>
      <w:bookmarkEnd w:id="13"/>
    </w:p>
    <w:p w14:paraId="1742FDEE" w14:textId="234F4521" w:rsidR="00D61E0B" w:rsidRPr="00901924" w:rsidRDefault="00D61E0B" w:rsidP="00171ABE">
      <w:pPr>
        <w:pStyle w:val="Heading2Numbered"/>
        <w:ind w:left="0"/>
        <w:rPr>
          <w:color w:val="002060"/>
        </w:rPr>
      </w:pPr>
      <w:bookmarkStart w:id="14" w:name="_Toc230249758"/>
      <w:r w:rsidRPr="00901924">
        <w:rPr>
          <w:color w:val="002060"/>
        </w:rPr>
        <w:t>Planning</w:t>
      </w:r>
      <w:bookmarkEnd w:id="14"/>
    </w:p>
    <w:p w14:paraId="313B4FE2" w14:textId="6C7AB7FB" w:rsidR="008C291E" w:rsidRDefault="00901924" w:rsidP="0070678C">
      <w:pPr>
        <w:pStyle w:val="Heading3Numbered"/>
      </w:pPr>
      <w:r>
        <w:t xml:space="preserve">The Chief Executive Officer will compile and submit to the Board an Annual Operating Plan which </w:t>
      </w:r>
      <w:proofErr w:type="gramStart"/>
      <w:r>
        <w:t>take into account</w:t>
      </w:r>
      <w:proofErr w:type="gramEnd"/>
      <w:r>
        <w:t xml:space="preserve"> financial targets and forecast limits of available resources</w:t>
      </w:r>
      <w:r w:rsidR="008C291E">
        <w:t>.</w:t>
      </w:r>
    </w:p>
    <w:p w14:paraId="0FD64EAC" w14:textId="135BAA02" w:rsidR="008C291E" w:rsidRDefault="008C291E" w:rsidP="0070678C">
      <w:pPr>
        <w:pStyle w:val="Heading3Numbered"/>
      </w:pPr>
      <w:r>
        <w:t>The annual plan will be developed in line with the ICS’s Medium</w:t>
      </w:r>
      <w:r w:rsidR="00572AFD">
        <w:t>-</w:t>
      </w:r>
      <w:r>
        <w:t>Term plan and the NHS Long term plan objectives</w:t>
      </w:r>
      <w:r w:rsidR="008D3626">
        <w:t xml:space="preserve"> and will:</w:t>
      </w:r>
    </w:p>
    <w:p w14:paraId="76FBFC13" w14:textId="1AC5FA92" w:rsidR="004F6A90" w:rsidRDefault="004F6A90" w:rsidP="0074740C">
      <w:pPr>
        <w:pStyle w:val="Heading3Numbered"/>
        <w:numPr>
          <w:ilvl w:val="0"/>
          <w:numId w:val="54"/>
        </w:numPr>
      </w:pPr>
      <w:r>
        <w:t>be in accordance with the aims and objectives set out in the ICB’s strategy;</w:t>
      </w:r>
    </w:p>
    <w:p w14:paraId="4C9BDADD" w14:textId="312EDD90" w:rsidR="004F6A90" w:rsidRDefault="004F6A90" w:rsidP="0074740C">
      <w:pPr>
        <w:pStyle w:val="Heading3Numbered"/>
        <w:numPr>
          <w:ilvl w:val="0"/>
          <w:numId w:val="54"/>
        </w:numPr>
      </w:pPr>
      <w:r>
        <w:t>ensure the achievement of the ICB statutory duty to breakeven</w:t>
      </w:r>
      <w:r w:rsidR="00862170">
        <w:t>;</w:t>
      </w:r>
    </w:p>
    <w:p w14:paraId="0C74C476" w14:textId="174CD157" w:rsidR="00901924" w:rsidRPr="00901924" w:rsidRDefault="00901924" w:rsidP="0074740C">
      <w:pPr>
        <w:pStyle w:val="Heading3Numbered"/>
        <w:numPr>
          <w:ilvl w:val="0"/>
          <w:numId w:val="54"/>
        </w:numPr>
      </w:pPr>
      <w:r w:rsidRPr="00901924">
        <w:t>a statement of the significant assumptions on which the plan is based</w:t>
      </w:r>
    </w:p>
    <w:p w14:paraId="3C712437" w14:textId="1311545E" w:rsidR="00901924" w:rsidRPr="00901924" w:rsidRDefault="00901924" w:rsidP="0074740C">
      <w:pPr>
        <w:pStyle w:val="Heading3Numbered"/>
        <w:numPr>
          <w:ilvl w:val="0"/>
          <w:numId w:val="54"/>
        </w:numPr>
      </w:pPr>
      <w:r w:rsidRPr="00901924">
        <w:t>details of major changes in workload, delivery of services or resources required to achieve the plan</w:t>
      </w:r>
    </w:p>
    <w:p w14:paraId="79877F79" w14:textId="2AE797B9" w:rsidR="008C291E" w:rsidRDefault="008C291E" w:rsidP="0074740C">
      <w:pPr>
        <w:pStyle w:val="Heading3Numbered"/>
        <w:numPr>
          <w:ilvl w:val="0"/>
          <w:numId w:val="54"/>
        </w:numPr>
      </w:pPr>
      <w:r>
        <w:t>identify potential risks</w:t>
      </w:r>
      <w:r w:rsidR="00862170">
        <w:t>.</w:t>
      </w:r>
    </w:p>
    <w:p w14:paraId="0FB9F19C" w14:textId="68CA4F75" w:rsidR="008D3626" w:rsidRDefault="008D3626" w:rsidP="0070678C">
      <w:pPr>
        <w:pStyle w:val="Heading3Numbered"/>
      </w:pPr>
      <w:r>
        <w:t>The approved annual plan will be the basis for setting the detailed budget plan and delegated budgets to approved budget holders.</w:t>
      </w:r>
    </w:p>
    <w:p w14:paraId="52AE43AE" w14:textId="3234516E" w:rsidR="004F6A90" w:rsidRDefault="004F6A90" w:rsidP="0070678C">
      <w:pPr>
        <w:pStyle w:val="Heading3Numbered"/>
      </w:pPr>
      <w:r>
        <w:t>The Chief Finance Officer will ensure that financial performance is monitored against budget and plan and communicated to appropriate Boards and Committees</w:t>
      </w:r>
      <w:r w:rsidR="00862170">
        <w:t>.</w:t>
      </w:r>
    </w:p>
    <w:p w14:paraId="3C645465" w14:textId="68937C6D" w:rsidR="000A4246" w:rsidRPr="004F6A90" w:rsidRDefault="000A4246" w:rsidP="00BB6325">
      <w:pPr>
        <w:pStyle w:val="Heading3Numbered"/>
        <w:rPr>
          <w:rFonts w:cs="Arial"/>
          <w:color w:val="000000"/>
          <w:sz w:val="22"/>
          <w:szCs w:val="22"/>
        </w:rPr>
      </w:pPr>
      <w:r>
        <w:t>All budget holders must provide information as required by the Chief Finance Officer to enable budgets to be compiled.</w:t>
      </w:r>
    </w:p>
    <w:p w14:paraId="59918997" w14:textId="5BC1286E" w:rsidR="009E3472" w:rsidRDefault="009E3472" w:rsidP="008D3626">
      <w:pPr>
        <w:pStyle w:val="Heading2Numbered"/>
        <w:spacing w:before="360"/>
        <w:ind w:left="0"/>
        <w:rPr>
          <w:color w:val="002060"/>
        </w:rPr>
      </w:pPr>
      <w:bookmarkStart w:id="15" w:name="_Toc230249759"/>
      <w:r>
        <w:rPr>
          <w:color w:val="002060"/>
        </w:rPr>
        <w:t>Allocations</w:t>
      </w:r>
      <w:bookmarkEnd w:id="15"/>
    </w:p>
    <w:p w14:paraId="67DE7E92" w14:textId="77777777" w:rsidR="009E3472" w:rsidRPr="009E3472" w:rsidRDefault="009E3472" w:rsidP="0074740C">
      <w:pPr>
        <w:pStyle w:val="ListParagraph"/>
        <w:numPr>
          <w:ilvl w:val="0"/>
          <w:numId w:val="74"/>
        </w:numPr>
        <w:spacing w:line="276" w:lineRule="auto"/>
        <w:rPr>
          <w:vanish/>
        </w:rPr>
      </w:pPr>
    </w:p>
    <w:p w14:paraId="74D0BEDC" w14:textId="77777777" w:rsidR="009E3472" w:rsidRPr="009E3472" w:rsidRDefault="009E3472" w:rsidP="0074740C">
      <w:pPr>
        <w:pStyle w:val="ListParagraph"/>
        <w:numPr>
          <w:ilvl w:val="0"/>
          <w:numId w:val="74"/>
        </w:numPr>
        <w:spacing w:line="276" w:lineRule="auto"/>
        <w:rPr>
          <w:vanish/>
        </w:rPr>
      </w:pPr>
    </w:p>
    <w:p w14:paraId="61B79ADA" w14:textId="77777777" w:rsidR="009E3472" w:rsidRPr="009E3472" w:rsidRDefault="009E3472" w:rsidP="0074740C">
      <w:pPr>
        <w:pStyle w:val="ListParagraph"/>
        <w:numPr>
          <w:ilvl w:val="0"/>
          <w:numId w:val="74"/>
        </w:numPr>
        <w:spacing w:line="276" w:lineRule="auto"/>
        <w:rPr>
          <w:vanish/>
        </w:rPr>
      </w:pPr>
    </w:p>
    <w:p w14:paraId="6CC1514E" w14:textId="77777777" w:rsidR="009E3472" w:rsidRPr="009E3472" w:rsidRDefault="009E3472" w:rsidP="0074740C">
      <w:pPr>
        <w:pStyle w:val="ListParagraph"/>
        <w:numPr>
          <w:ilvl w:val="1"/>
          <w:numId w:val="74"/>
        </w:numPr>
        <w:spacing w:line="276" w:lineRule="auto"/>
        <w:rPr>
          <w:vanish/>
        </w:rPr>
      </w:pPr>
    </w:p>
    <w:p w14:paraId="2499194E" w14:textId="77777777" w:rsidR="009E3472" w:rsidRPr="009E3472" w:rsidRDefault="009E3472" w:rsidP="0074740C">
      <w:pPr>
        <w:pStyle w:val="ListParagraph"/>
        <w:numPr>
          <w:ilvl w:val="1"/>
          <w:numId w:val="74"/>
        </w:numPr>
        <w:spacing w:line="276" w:lineRule="auto"/>
        <w:rPr>
          <w:vanish/>
        </w:rPr>
      </w:pPr>
    </w:p>
    <w:p w14:paraId="3204E7EE" w14:textId="2007528E" w:rsidR="009E3472" w:rsidRDefault="009E3472" w:rsidP="0074740C">
      <w:pPr>
        <w:pStyle w:val="ListParagraph"/>
        <w:numPr>
          <w:ilvl w:val="2"/>
          <w:numId w:val="74"/>
        </w:numPr>
        <w:spacing w:line="276" w:lineRule="auto"/>
        <w:ind w:left="504"/>
      </w:pPr>
      <w:r>
        <w:t>The Chief Finance Officer of the ICB will:</w:t>
      </w:r>
    </w:p>
    <w:p w14:paraId="01426F74" w14:textId="77777777" w:rsidR="009E3472" w:rsidRDefault="009E3472" w:rsidP="0074740C">
      <w:pPr>
        <w:pStyle w:val="ListParagraph"/>
        <w:numPr>
          <w:ilvl w:val="0"/>
          <w:numId w:val="76"/>
        </w:numPr>
        <w:spacing w:line="276" w:lineRule="auto"/>
        <w:ind w:left="1418"/>
      </w:pPr>
      <w:r>
        <w:t>periodically review the basis and assumptions used by NHS England for distributing allocations and ensure that these are reasonable and realistic and secure the ICB's entitlement to funds;</w:t>
      </w:r>
    </w:p>
    <w:p w14:paraId="7BF0F474" w14:textId="7F9990CC" w:rsidR="009E3472" w:rsidRPr="009E3472" w:rsidRDefault="009E3472" w:rsidP="0074740C">
      <w:pPr>
        <w:pStyle w:val="ListParagraph"/>
        <w:numPr>
          <w:ilvl w:val="0"/>
          <w:numId w:val="76"/>
        </w:numPr>
        <w:spacing w:line="276" w:lineRule="auto"/>
        <w:ind w:left="1418"/>
      </w:pPr>
      <w:r>
        <w:t>prior to the start of each financial year submit to the ICB Board for approval a report showing the total allocations received and their proposed distribution including any sums to be held in reserve; and</w:t>
      </w:r>
      <w:r w:rsidR="00DB2853">
        <w:t xml:space="preserve"> </w:t>
      </w:r>
      <w:r>
        <w:lastRenderedPageBreak/>
        <w:t>regularly update the ICB Board on significant changes to the initial allocation and the uses of such funds</w:t>
      </w:r>
    </w:p>
    <w:p w14:paraId="198E4BAF" w14:textId="13EF2CAC" w:rsidR="008D3626" w:rsidRDefault="008D3626" w:rsidP="008D3626">
      <w:pPr>
        <w:pStyle w:val="Heading2Numbered"/>
        <w:spacing w:before="360"/>
        <w:ind w:left="0"/>
        <w:rPr>
          <w:color w:val="002060"/>
        </w:rPr>
      </w:pPr>
      <w:bookmarkStart w:id="16" w:name="_Toc230249760"/>
      <w:r w:rsidRPr="00342429">
        <w:rPr>
          <w:color w:val="002060"/>
        </w:rPr>
        <w:t>Budgetary control and reporting</w:t>
      </w:r>
      <w:bookmarkEnd w:id="16"/>
    </w:p>
    <w:p w14:paraId="0C84B87D" w14:textId="77777777" w:rsidR="0018547C" w:rsidRPr="0018547C" w:rsidRDefault="0018547C" w:rsidP="0074740C">
      <w:pPr>
        <w:pStyle w:val="ListParagraph"/>
        <w:numPr>
          <w:ilvl w:val="1"/>
          <w:numId w:val="74"/>
        </w:numPr>
        <w:spacing w:line="276" w:lineRule="auto"/>
        <w:rPr>
          <w:vanish/>
        </w:rPr>
      </w:pPr>
    </w:p>
    <w:p w14:paraId="333A2D8F" w14:textId="765DEE1D" w:rsidR="003C5838" w:rsidRDefault="003C5838" w:rsidP="0074740C">
      <w:pPr>
        <w:pStyle w:val="ListParagraph"/>
        <w:numPr>
          <w:ilvl w:val="2"/>
          <w:numId w:val="74"/>
        </w:numPr>
        <w:spacing w:line="276" w:lineRule="auto"/>
        <w:ind w:left="504"/>
      </w:pPr>
      <w:r w:rsidRPr="003C5838">
        <w:t xml:space="preserve"> </w:t>
      </w:r>
      <w:r>
        <w:t>The Chief Executive Officer may delegate the management of a budget to permit the performance of a defined range of activities. This delegation must be in writing and be accompanied by a clear definition of:</w:t>
      </w:r>
    </w:p>
    <w:p w14:paraId="59F29AF1" w14:textId="77777777" w:rsidR="003C5838" w:rsidRDefault="003C5838" w:rsidP="0074740C">
      <w:pPr>
        <w:pStyle w:val="ListParagraph"/>
        <w:numPr>
          <w:ilvl w:val="0"/>
          <w:numId w:val="76"/>
        </w:numPr>
        <w:spacing w:line="276" w:lineRule="auto"/>
        <w:ind w:left="1418"/>
      </w:pPr>
      <w:r>
        <w:t>the amount of the budget;</w:t>
      </w:r>
    </w:p>
    <w:p w14:paraId="4B2F0124" w14:textId="77777777" w:rsidR="003C5838" w:rsidRDefault="003C5838" w:rsidP="0074740C">
      <w:pPr>
        <w:pStyle w:val="ListParagraph"/>
        <w:numPr>
          <w:ilvl w:val="0"/>
          <w:numId w:val="76"/>
        </w:numPr>
        <w:spacing w:line="276" w:lineRule="auto"/>
        <w:ind w:left="1418"/>
      </w:pPr>
      <w:r>
        <w:t>the purpose(s) of each budget heading;</w:t>
      </w:r>
    </w:p>
    <w:p w14:paraId="654BAA00" w14:textId="77777777" w:rsidR="003C5838" w:rsidRDefault="003C5838" w:rsidP="0074740C">
      <w:pPr>
        <w:pStyle w:val="ListParagraph"/>
        <w:numPr>
          <w:ilvl w:val="0"/>
          <w:numId w:val="76"/>
        </w:numPr>
        <w:spacing w:line="276" w:lineRule="auto"/>
        <w:ind w:left="1418"/>
      </w:pPr>
      <w:r>
        <w:t>individual and group responsibilities;</w:t>
      </w:r>
    </w:p>
    <w:p w14:paraId="22C5BFBB" w14:textId="77777777" w:rsidR="003C5838" w:rsidRDefault="003C5838" w:rsidP="0074740C">
      <w:pPr>
        <w:pStyle w:val="ListParagraph"/>
        <w:numPr>
          <w:ilvl w:val="0"/>
          <w:numId w:val="76"/>
        </w:numPr>
        <w:spacing w:line="276" w:lineRule="auto"/>
        <w:ind w:left="1418"/>
      </w:pPr>
      <w:r>
        <w:t>authority to exercise virement;</w:t>
      </w:r>
    </w:p>
    <w:p w14:paraId="17593AD5" w14:textId="77777777" w:rsidR="003C5838" w:rsidRDefault="003C5838" w:rsidP="0074740C">
      <w:pPr>
        <w:pStyle w:val="ListParagraph"/>
        <w:numPr>
          <w:ilvl w:val="0"/>
          <w:numId w:val="76"/>
        </w:numPr>
        <w:spacing w:line="276" w:lineRule="auto"/>
        <w:ind w:left="1418"/>
      </w:pPr>
      <w:r>
        <w:t>achievement of planned levels of service;</w:t>
      </w:r>
    </w:p>
    <w:p w14:paraId="51F48065" w14:textId="3E8AC0AA" w:rsidR="003C5838" w:rsidRDefault="003C5838" w:rsidP="0074740C">
      <w:pPr>
        <w:pStyle w:val="ListParagraph"/>
        <w:numPr>
          <w:ilvl w:val="0"/>
          <w:numId w:val="76"/>
        </w:numPr>
        <w:spacing w:line="276" w:lineRule="auto"/>
        <w:ind w:left="1418"/>
      </w:pPr>
      <w:r>
        <w:t>the provision of regular report</w:t>
      </w:r>
    </w:p>
    <w:p w14:paraId="2946BD8A" w14:textId="77777777" w:rsidR="00B1478F" w:rsidRDefault="00B1478F" w:rsidP="00B1478F">
      <w:pPr>
        <w:spacing w:line="276" w:lineRule="auto"/>
      </w:pPr>
    </w:p>
    <w:p w14:paraId="3429F2A3" w14:textId="77777777" w:rsidR="00B1478F" w:rsidRDefault="00B1478F" w:rsidP="0074740C">
      <w:pPr>
        <w:pStyle w:val="ListParagraph"/>
        <w:numPr>
          <w:ilvl w:val="2"/>
          <w:numId w:val="74"/>
        </w:numPr>
        <w:spacing w:line="276" w:lineRule="auto"/>
        <w:ind w:left="851" w:hanging="851"/>
      </w:pPr>
      <w:r>
        <w:t>The Chief Executive Officer and delegated budget holders must not exceed the budgetary total or virement limits set by the Board.</w:t>
      </w:r>
    </w:p>
    <w:p w14:paraId="484E3300" w14:textId="77777777" w:rsidR="00B1478F" w:rsidRDefault="00B1478F" w:rsidP="00B1478F">
      <w:pPr>
        <w:pStyle w:val="ListParagraph"/>
        <w:ind w:left="851"/>
      </w:pPr>
    </w:p>
    <w:p w14:paraId="7B077464" w14:textId="77777777" w:rsidR="00B1478F" w:rsidRDefault="00B1478F" w:rsidP="0074740C">
      <w:pPr>
        <w:pStyle w:val="ListParagraph"/>
        <w:numPr>
          <w:ilvl w:val="2"/>
          <w:numId w:val="74"/>
        </w:numPr>
        <w:spacing w:line="276" w:lineRule="auto"/>
        <w:ind w:left="851" w:hanging="851"/>
      </w:pPr>
      <w:r>
        <w:t>Any budgeted funds not required for their designated purpose(s) revert to the immediate control of the Chief Executive Officer, subject to any authorised use of virement.</w:t>
      </w:r>
    </w:p>
    <w:p w14:paraId="68092805" w14:textId="77777777" w:rsidR="00B1478F" w:rsidRDefault="00B1478F" w:rsidP="00B1478F">
      <w:pPr>
        <w:pStyle w:val="ListParagraph"/>
      </w:pPr>
    </w:p>
    <w:p w14:paraId="03BCB04D" w14:textId="33A15EE7" w:rsidR="0082343A" w:rsidRDefault="00B1478F" w:rsidP="0074740C">
      <w:pPr>
        <w:pStyle w:val="ListParagraph"/>
        <w:numPr>
          <w:ilvl w:val="2"/>
          <w:numId w:val="74"/>
        </w:numPr>
        <w:spacing w:line="276" w:lineRule="auto"/>
        <w:ind w:left="851" w:hanging="851"/>
      </w:pPr>
      <w:r>
        <w:t>Non-recurring budgets should not be used to finance recurring expenditure without the authority in writing of the Chief Executive Officer, as advised by the Chief Finance Officer.</w:t>
      </w:r>
    </w:p>
    <w:p w14:paraId="5E18C6D2" w14:textId="77777777" w:rsidR="0082343A" w:rsidRDefault="0082343A" w:rsidP="0082343A">
      <w:pPr>
        <w:pStyle w:val="ListParagraph"/>
      </w:pPr>
    </w:p>
    <w:p w14:paraId="7FD94429" w14:textId="1664B177" w:rsidR="0018547C" w:rsidRPr="0073686E" w:rsidRDefault="0060245D" w:rsidP="0074740C">
      <w:pPr>
        <w:pStyle w:val="ListParagraph"/>
        <w:numPr>
          <w:ilvl w:val="2"/>
          <w:numId w:val="74"/>
        </w:numPr>
        <w:spacing w:line="276" w:lineRule="auto"/>
        <w:ind w:left="851" w:hanging="851"/>
      </w:pPr>
      <w:r>
        <w:t>The Chief Finance Officer is</w:t>
      </w:r>
    </w:p>
    <w:p w14:paraId="377C074C" w14:textId="77777777" w:rsidR="00342429" w:rsidRPr="00342429" w:rsidRDefault="00342429" w:rsidP="0074740C">
      <w:pPr>
        <w:pStyle w:val="ListParagraph"/>
        <w:numPr>
          <w:ilvl w:val="0"/>
          <w:numId w:val="74"/>
        </w:numPr>
        <w:spacing w:line="276" w:lineRule="auto"/>
        <w:rPr>
          <w:vanish/>
        </w:rPr>
      </w:pPr>
    </w:p>
    <w:p w14:paraId="65812137" w14:textId="77777777" w:rsidR="00342429" w:rsidRPr="00342429" w:rsidRDefault="00342429" w:rsidP="0074740C">
      <w:pPr>
        <w:pStyle w:val="ListParagraph"/>
        <w:numPr>
          <w:ilvl w:val="0"/>
          <w:numId w:val="74"/>
        </w:numPr>
        <w:spacing w:line="276" w:lineRule="auto"/>
        <w:rPr>
          <w:vanish/>
        </w:rPr>
      </w:pPr>
    </w:p>
    <w:p w14:paraId="3E637B65" w14:textId="77777777" w:rsidR="00342429" w:rsidRPr="00342429" w:rsidRDefault="00342429" w:rsidP="0074740C">
      <w:pPr>
        <w:pStyle w:val="ListParagraph"/>
        <w:numPr>
          <w:ilvl w:val="0"/>
          <w:numId w:val="74"/>
        </w:numPr>
        <w:spacing w:line="276" w:lineRule="auto"/>
        <w:rPr>
          <w:vanish/>
        </w:rPr>
      </w:pPr>
    </w:p>
    <w:p w14:paraId="4E8A32FC" w14:textId="77777777" w:rsidR="00342429" w:rsidRPr="00342429" w:rsidRDefault="00342429" w:rsidP="0074740C">
      <w:pPr>
        <w:pStyle w:val="ListParagraph"/>
        <w:numPr>
          <w:ilvl w:val="1"/>
          <w:numId w:val="74"/>
        </w:numPr>
        <w:spacing w:line="276" w:lineRule="auto"/>
        <w:rPr>
          <w:vanish/>
        </w:rPr>
      </w:pPr>
    </w:p>
    <w:p w14:paraId="7DB9A3D5" w14:textId="77777777" w:rsidR="00342429" w:rsidRPr="00342429" w:rsidRDefault="00342429" w:rsidP="0074740C">
      <w:pPr>
        <w:pStyle w:val="ListParagraph"/>
        <w:numPr>
          <w:ilvl w:val="1"/>
          <w:numId w:val="74"/>
        </w:numPr>
        <w:spacing w:line="276" w:lineRule="auto"/>
        <w:rPr>
          <w:vanish/>
        </w:rPr>
      </w:pPr>
    </w:p>
    <w:p w14:paraId="66CA1555" w14:textId="77777777" w:rsidR="00342429" w:rsidRPr="00342429" w:rsidRDefault="00342429" w:rsidP="00342429">
      <w:pPr>
        <w:pStyle w:val="ListParagraph"/>
        <w:keepNext/>
        <w:keepLines/>
        <w:numPr>
          <w:ilvl w:val="2"/>
          <w:numId w:val="4"/>
        </w:numPr>
        <w:spacing w:before="300" w:after="100"/>
        <w:contextualSpacing w:val="0"/>
        <w:outlineLvl w:val="2"/>
        <w:rPr>
          <w:rFonts w:eastAsiaTheme="majorEastAsia" w:cstheme="majorBidi"/>
          <w:vanish/>
        </w:rPr>
      </w:pPr>
    </w:p>
    <w:p w14:paraId="5524CE80" w14:textId="77777777" w:rsidR="00342429" w:rsidRPr="00342429" w:rsidRDefault="00342429" w:rsidP="00342429">
      <w:pPr>
        <w:pStyle w:val="ListParagraph"/>
        <w:keepNext/>
        <w:keepLines/>
        <w:numPr>
          <w:ilvl w:val="2"/>
          <w:numId w:val="4"/>
        </w:numPr>
        <w:spacing w:before="300" w:after="100"/>
        <w:contextualSpacing w:val="0"/>
        <w:outlineLvl w:val="2"/>
        <w:rPr>
          <w:rFonts w:eastAsiaTheme="majorEastAsia" w:cstheme="majorBidi"/>
          <w:vanish/>
        </w:rPr>
      </w:pPr>
    </w:p>
    <w:p w14:paraId="7080AEE9" w14:textId="77777777" w:rsidR="00342429" w:rsidRPr="00342429" w:rsidRDefault="00342429" w:rsidP="00342429">
      <w:pPr>
        <w:pStyle w:val="ListParagraph"/>
        <w:keepNext/>
        <w:keepLines/>
        <w:numPr>
          <w:ilvl w:val="2"/>
          <w:numId w:val="4"/>
        </w:numPr>
        <w:spacing w:before="300" w:after="100"/>
        <w:contextualSpacing w:val="0"/>
        <w:outlineLvl w:val="2"/>
        <w:rPr>
          <w:rFonts w:eastAsiaTheme="majorEastAsia" w:cstheme="majorBidi"/>
          <w:vanish/>
        </w:rPr>
      </w:pPr>
    </w:p>
    <w:p w14:paraId="3E4915CE" w14:textId="77777777" w:rsidR="00342429" w:rsidRPr="00342429" w:rsidRDefault="00342429" w:rsidP="00342429">
      <w:pPr>
        <w:pStyle w:val="ListParagraph"/>
        <w:keepNext/>
        <w:keepLines/>
        <w:numPr>
          <w:ilvl w:val="2"/>
          <w:numId w:val="4"/>
        </w:numPr>
        <w:spacing w:before="300" w:after="100"/>
        <w:contextualSpacing w:val="0"/>
        <w:outlineLvl w:val="2"/>
        <w:rPr>
          <w:rFonts w:eastAsiaTheme="majorEastAsia" w:cstheme="majorBidi"/>
          <w:vanish/>
        </w:rPr>
      </w:pPr>
    </w:p>
    <w:p w14:paraId="79A0B353" w14:textId="6C5181F5" w:rsidR="00781DE1" w:rsidRDefault="008D3626" w:rsidP="0074740C">
      <w:pPr>
        <w:pStyle w:val="Heading3Numbered"/>
        <w:numPr>
          <w:ilvl w:val="0"/>
          <w:numId w:val="63"/>
        </w:numPr>
      </w:pPr>
      <w:r w:rsidRPr="00574B74">
        <w:t>responsible for maintaining policies and processes relating to the control, management and use of resources across the ICB</w:t>
      </w:r>
      <w:r w:rsidR="00862170">
        <w:t>;</w:t>
      </w:r>
      <w:r>
        <w:t xml:space="preserve"> </w:t>
      </w:r>
    </w:p>
    <w:p w14:paraId="55ABFB89" w14:textId="651BE157" w:rsidR="008D3626" w:rsidRDefault="008D3626" w:rsidP="0074740C">
      <w:pPr>
        <w:pStyle w:val="Heading3Numbered"/>
        <w:numPr>
          <w:ilvl w:val="0"/>
          <w:numId w:val="63"/>
        </w:numPr>
      </w:pPr>
      <w:r w:rsidRPr="00574B74">
        <w:t>will delegate the budgetary control responsibilities to budget holders through a formal documented process</w:t>
      </w:r>
      <w:r>
        <w:t>.</w:t>
      </w:r>
    </w:p>
    <w:p w14:paraId="1F0E0FB5" w14:textId="77471147" w:rsidR="005F5DCB" w:rsidRDefault="00780AAD" w:rsidP="00780AAD">
      <w:pPr>
        <w:pStyle w:val="BodyText"/>
      </w:pPr>
      <w:r>
        <w:t>6.3.6</w:t>
      </w:r>
      <w:r>
        <w:tab/>
      </w:r>
      <w:r w:rsidR="00AE282E">
        <w:t xml:space="preserve">The </w:t>
      </w:r>
      <w:r w:rsidR="00781DE1">
        <w:t xml:space="preserve">Chief Finance Officer </w:t>
      </w:r>
      <w:r w:rsidR="00AE282E">
        <w:t>will ensure</w:t>
      </w:r>
      <w:r w:rsidR="00CA3FC1">
        <w:t>:</w:t>
      </w:r>
      <w:r w:rsidR="00781DE1">
        <w:t xml:space="preserve"> </w:t>
      </w:r>
    </w:p>
    <w:p w14:paraId="2BDD0A48" w14:textId="74CF3817" w:rsidR="00AE282E" w:rsidRDefault="00E97819" w:rsidP="00215372">
      <w:pPr>
        <w:pStyle w:val="BodyText"/>
        <w:numPr>
          <w:ilvl w:val="0"/>
          <w:numId w:val="22"/>
        </w:numPr>
        <w:spacing w:before="240" w:after="120" w:line="240" w:lineRule="auto"/>
        <w:ind w:left="993" w:hanging="426"/>
      </w:pPr>
      <w:r>
        <w:t>the promotion of</w:t>
      </w:r>
      <w:r w:rsidR="002F2084">
        <w:t xml:space="preserve"> </w:t>
      </w:r>
      <w:r w:rsidR="00AE282E">
        <w:t xml:space="preserve">compliance to the SFIs through </w:t>
      </w:r>
      <w:r w:rsidR="00DD108B">
        <w:t>a financial governance framework</w:t>
      </w:r>
      <w:r w:rsidR="00630E96">
        <w:t>;</w:t>
      </w:r>
    </w:p>
    <w:p w14:paraId="337022AE" w14:textId="0EEB7FB2" w:rsidR="00354424" w:rsidRDefault="00E97819" w:rsidP="00215372">
      <w:pPr>
        <w:pStyle w:val="BodyText"/>
        <w:numPr>
          <w:ilvl w:val="0"/>
          <w:numId w:val="22"/>
        </w:numPr>
        <w:spacing w:before="240" w:after="120" w:line="240" w:lineRule="auto"/>
        <w:ind w:left="993" w:hanging="426"/>
      </w:pPr>
      <w:r>
        <w:t>the promotion of</w:t>
      </w:r>
      <w:r w:rsidR="002543F4">
        <w:t xml:space="preserve"> </w:t>
      </w:r>
      <w:r w:rsidR="00FB7FCF">
        <w:t>long-term</w:t>
      </w:r>
      <w:r w:rsidR="00AE282E">
        <w:t xml:space="preserve"> financial heath for the NHS system (including ICS)</w:t>
      </w:r>
      <w:r w:rsidR="00630E96">
        <w:t>;</w:t>
      </w:r>
    </w:p>
    <w:p w14:paraId="20C0A3A9" w14:textId="6D85BFCE" w:rsidR="002C1BF8" w:rsidRDefault="002543F4" w:rsidP="00215372">
      <w:pPr>
        <w:pStyle w:val="BodyTextNoSpacing"/>
        <w:numPr>
          <w:ilvl w:val="0"/>
          <w:numId w:val="22"/>
        </w:numPr>
        <w:spacing w:before="240" w:after="120" w:line="240" w:lineRule="auto"/>
        <w:ind w:left="993" w:hanging="426"/>
      </w:pPr>
      <w:r>
        <w:t>b</w:t>
      </w:r>
      <w:r w:rsidR="002C1BF8">
        <w:t xml:space="preserve">udget holders are accountable for obtaining the necessary approvals and oversight of all </w:t>
      </w:r>
      <w:r w:rsidR="002C1BF8" w:rsidRPr="00574B74">
        <w:rPr>
          <w:color w:val="auto"/>
        </w:rPr>
        <w:t>expenditure incurred on the cost centres</w:t>
      </w:r>
      <w:r w:rsidR="00E44785" w:rsidRPr="00574B74">
        <w:rPr>
          <w:color w:val="auto"/>
        </w:rPr>
        <w:t xml:space="preserve"> and subjective code combinations</w:t>
      </w:r>
      <w:r w:rsidR="002C1BF8" w:rsidRPr="00574B74">
        <w:rPr>
          <w:color w:val="auto"/>
        </w:rPr>
        <w:t xml:space="preserve"> </w:t>
      </w:r>
      <w:r w:rsidR="002C1BF8">
        <w:t>they are responsible for</w:t>
      </w:r>
      <w:r w:rsidR="00630E96">
        <w:t>;</w:t>
      </w:r>
    </w:p>
    <w:p w14:paraId="0F8C4A89" w14:textId="55787405" w:rsidR="002F2084" w:rsidRDefault="00E97819" w:rsidP="00215372">
      <w:pPr>
        <w:pStyle w:val="BodyText"/>
        <w:numPr>
          <w:ilvl w:val="0"/>
          <w:numId w:val="22"/>
        </w:numPr>
        <w:spacing w:before="240" w:after="120" w:line="240" w:lineRule="auto"/>
        <w:ind w:left="993" w:hanging="426"/>
      </w:pPr>
      <w:r>
        <w:lastRenderedPageBreak/>
        <w:t>the improvement of</w:t>
      </w:r>
      <w:r w:rsidR="00AE282E">
        <w:t xml:space="preserve"> financial literacy of budget holders</w:t>
      </w:r>
      <w:r w:rsidR="002F2084">
        <w:t xml:space="preserve"> with the appropriate level of expertise and systems</w:t>
      </w:r>
      <w:r w:rsidR="006D7A79">
        <w:t xml:space="preserve"> training</w:t>
      </w:r>
      <w:r w:rsidR="00630E96">
        <w:t>;</w:t>
      </w:r>
    </w:p>
    <w:p w14:paraId="08252440" w14:textId="342D8D64" w:rsidR="00AE282E" w:rsidRDefault="009A2D09" w:rsidP="00215372">
      <w:pPr>
        <w:pStyle w:val="BodyText"/>
        <w:numPr>
          <w:ilvl w:val="0"/>
          <w:numId w:val="22"/>
        </w:numPr>
        <w:spacing w:before="240" w:after="120" w:line="240" w:lineRule="auto"/>
        <w:ind w:left="993" w:hanging="426"/>
      </w:pPr>
      <w:r>
        <w:t xml:space="preserve">that the budget holders are supported </w:t>
      </w:r>
      <w:r w:rsidR="002F2084">
        <w:t>in proportion</w:t>
      </w:r>
      <w:r>
        <w:t xml:space="preserve"> to the </w:t>
      </w:r>
      <w:r w:rsidR="002F2084">
        <w:t>operational</w:t>
      </w:r>
      <w:r>
        <w:t xml:space="preserve"> risk</w:t>
      </w:r>
      <w:r w:rsidR="00630E96">
        <w:t xml:space="preserve">; and </w:t>
      </w:r>
      <w:r>
        <w:t xml:space="preserve"> </w:t>
      </w:r>
    </w:p>
    <w:p w14:paraId="55829929" w14:textId="79DDC678" w:rsidR="00354424" w:rsidRDefault="002F2084" w:rsidP="00215372">
      <w:pPr>
        <w:pStyle w:val="BodyText"/>
        <w:numPr>
          <w:ilvl w:val="0"/>
          <w:numId w:val="22"/>
        </w:numPr>
        <w:spacing w:before="240" w:after="120" w:line="240" w:lineRule="auto"/>
        <w:ind w:left="993" w:hanging="426"/>
      </w:pPr>
      <w:r>
        <w:t>th</w:t>
      </w:r>
      <w:r w:rsidR="006D7A79">
        <w:t>e</w:t>
      </w:r>
      <w:r>
        <w:t xml:space="preserve"> implementation of financial and resources plans that support the NHS Long term plan objectives</w:t>
      </w:r>
      <w:r w:rsidR="00630E96">
        <w:t>.</w:t>
      </w:r>
      <w:r>
        <w:t xml:space="preserve"> </w:t>
      </w:r>
    </w:p>
    <w:p w14:paraId="677BCA76" w14:textId="4D42100F" w:rsidR="00BB6970" w:rsidRPr="00700833" w:rsidRDefault="00EA5396" w:rsidP="00706271">
      <w:pPr>
        <w:spacing w:line="276" w:lineRule="auto"/>
        <w:ind w:left="720"/>
      </w:pPr>
      <w:r>
        <w:t>6.3</w:t>
      </w:r>
      <w:r w:rsidR="0082630A">
        <w:t xml:space="preserve">.7 </w:t>
      </w:r>
      <w:r w:rsidR="0082630A">
        <w:tab/>
      </w:r>
      <w:r w:rsidR="009B4D10">
        <w:t xml:space="preserve">In </w:t>
      </w:r>
      <w:r w:rsidR="009B4D10" w:rsidRPr="00EA5396">
        <w:t>addition</w:t>
      </w:r>
      <w:r w:rsidR="009B4D10" w:rsidRPr="00700833">
        <w:t xml:space="preserve">, the </w:t>
      </w:r>
      <w:r w:rsidR="00781DE1">
        <w:t xml:space="preserve">Chief Finance Officer </w:t>
      </w:r>
      <w:r w:rsidR="00700833">
        <w:t xml:space="preserve">should have </w:t>
      </w:r>
      <w:r w:rsidR="009B4D10" w:rsidRPr="00700833">
        <w:t xml:space="preserve">financial leadership </w:t>
      </w:r>
      <w:r w:rsidR="006D7A79" w:rsidRPr="00700833">
        <w:t>responsibilit</w:t>
      </w:r>
      <w:r w:rsidR="00700833">
        <w:t>y for the following statutory duties</w:t>
      </w:r>
      <w:r w:rsidR="00CA3FC1" w:rsidRPr="00700833">
        <w:t>:</w:t>
      </w:r>
    </w:p>
    <w:p w14:paraId="01D758D4" w14:textId="20084290" w:rsidR="004905FD" w:rsidRPr="00700833" w:rsidRDefault="00C27F57" w:rsidP="00C27F57">
      <w:pPr>
        <w:pStyle w:val="BodyText"/>
        <w:numPr>
          <w:ilvl w:val="0"/>
          <w:numId w:val="8"/>
        </w:numPr>
        <w:spacing w:before="240" w:after="120" w:line="240" w:lineRule="auto"/>
        <w:ind w:left="993" w:hanging="426"/>
      </w:pPr>
      <w:r>
        <w:t xml:space="preserve">that of </w:t>
      </w:r>
      <w:r w:rsidR="00700833">
        <w:t xml:space="preserve">the ICB, in conjunction with </w:t>
      </w:r>
      <w:r w:rsidR="004905FD" w:rsidRPr="00700833">
        <w:t xml:space="preserve">its partner NHS </w:t>
      </w:r>
      <w:r w:rsidR="009B4D10" w:rsidRPr="00700833">
        <w:t>trusts</w:t>
      </w:r>
      <w:r w:rsidR="004905FD" w:rsidRPr="00700833">
        <w:t xml:space="preserve"> and NHS</w:t>
      </w:r>
      <w:r w:rsidR="009B4D10" w:rsidRPr="00700833">
        <w:t xml:space="preserve"> </w:t>
      </w:r>
      <w:r w:rsidR="005076AB">
        <w:t>f</w:t>
      </w:r>
      <w:r w:rsidR="004905FD" w:rsidRPr="00700833">
        <w:t xml:space="preserve">oundation </w:t>
      </w:r>
      <w:r w:rsidR="005076AB">
        <w:t>t</w:t>
      </w:r>
      <w:r w:rsidR="004905FD" w:rsidRPr="00700833">
        <w:t>rusts</w:t>
      </w:r>
      <w:r w:rsidR="00700833">
        <w:t xml:space="preserve">, to </w:t>
      </w:r>
      <w:r w:rsidR="004905FD" w:rsidRPr="00700833">
        <w:t xml:space="preserve">exercise </w:t>
      </w:r>
      <w:r w:rsidR="00700833">
        <w:t xml:space="preserve">its </w:t>
      </w:r>
      <w:r w:rsidR="004905FD" w:rsidRPr="00700833">
        <w:t>functions with a view to ensuring</w:t>
      </w:r>
      <w:r w:rsidR="009B4D10" w:rsidRPr="00700833">
        <w:t xml:space="preserve"> </w:t>
      </w:r>
      <w:r w:rsidR="004905FD" w:rsidRPr="00700833">
        <w:t>that, in respect of each financial yea</w:t>
      </w:r>
      <w:r w:rsidR="00630E96" w:rsidRPr="00700833">
        <w:t>r</w:t>
      </w:r>
      <w:r w:rsidR="00862170">
        <w:t xml:space="preserve">, </w:t>
      </w:r>
    </w:p>
    <w:p w14:paraId="275A8386" w14:textId="7483FFF5" w:rsidR="004905FD" w:rsidRPr="007166D7" w:rsidRDefault="004905FD" w:rsidP="00C27F57">
      <w:pPr>
        <w:pStyle w:val="BodyText"/>
        <w:numPr>
          <w:ilvl w:val="1"/>
          <w:numId w:val="9"/>
        </w:numPr>
        <w:spacing w:before="240" w:after="120" w:line="240" w:lineRule="auto"/>
      </w:pPr>
      <w:r w:rsidRPr="007166D7">
        <w:t>local capital resource use does not exceed the limit specified in</w:t>
      </w:r>
      <w:r w:rsidR="009B4D10" w:rsidRPr="007166D7">
        <w:t xml:space="preserve"> </w:t>
      </w:r>
      <w:r w:rsidRPr="007166D7">
        <w:t>a direction by NHS England;</w:t>
      </w:r>
      <w:r w:rsidR="008E3DCB" w:rsidRPr="007166D7">
        <w:t xml:space="preserve">  </w:t>
      </w:r>
    </w:p>
    <w:p w14:paraId="5C310826" w14:textId="5F978E03" w:rsidR="00700833" w:rsidRDefault="004905FD" w:rsidP="00C27F57">
      <w:pPr>
        <w:pStyle w:val="BodyText"/>
        <w:numPr>
          <w:ilvl w:val="1"/>
          <w:numId w:val="9"/>
        </w:numPr>
        <w:spacing w:before="240" w:after="120" w:line="240" w:lineRule="auto"/>
      </w:pPr>
      <w:r w:rsidRPr="007166D7">
        <w:t>local revenue resource use does not exceed the limit specified in</w:t>
      </w:r>
      <w:r w:rsidR="009B4D10" w:rsidRPr="007166D7">
        <w:t xml:space="preserve"> </w:t>
      </w:r>
      <w:r w:rsidRPr="007166D7">
        <w:t>a direction by NHS England</w:t>
      </w:r>
      <w:r w:rsidR="00862170">
        <w:t>.</w:t>
      </w:r>
    </w:p>
    <w:p w14:paraId="52B7E077" w14:textId="5185805E" w:rsidR="00700833" w:rsidRDefault="00700833" w:rsidP="0074740C">
      <w:pPr>
        <w:pStyle w:val="BodyText"/>
        <w:numPr>
          <w:ilvl w:val="0"/>
          <w:numId w:val="64"/>
        </w:numPr>
        <w:spacing w:before="240" w:after="120" w:line="240" w:lineRule="auto"/>
      </w:pPr>
      <w:r>
        <w:t xml:space="preserve">the duty of the ICB to perform its functions as to secure that its expenditure does not exceed the aggregate of its allotment from NHS England and its other income; </w:t>
      </w:r>
      <w:r w:rsidR="00630E96" w:rsidRPr="00700833">
        <w:t>and</w:t>
      </w:r>
    </w:p>
    <w:p w14:paraId="4AC3A412" w14:textId="62FD00AD" w:rsidR="004905FD" w:rsidRDefault="00700833" w:rsidP="0074740C">
      <w:pPr>
        <w:pStyle w:val="BodyText"/>
        <w:numPr>
          <w:ilvl w:val="0"/>
          <w:numId w:val="64"/>
        </w:numPr>
        <w:spacing w:before="240" w:after="120" w:line="240" w:lineRule="auto"/>
      </w:pPr>
      <w:r>
        <w:t>the duty of the ICB, in conjunction with its partner trusts, to seek to achieve any joint financial objectives set by NHS England for the ICB and its partner trusts.</w:t>
      </w:r>
      <w:r w:rsidR="00630E96" w:rsidRPr="00700833">
        <w:t xml:space="preserve"> </w:t>
      </w:r>
    </w:p>
    <w:p w14:paraId="293CCE6E" w14:textId="77777777" w:rsidR="00B37E83" w:rsidRPr="00B37E83" w:rsidRDefault="00B37E83" w:rsidP="00B37E83">
      <w:pPr>
        <w:pStyle w:val="ListParagraph"/>
        <w:keepNext/>
        <w:keepLines/>
        <w:numPr>
          <w:ilvl w:val="2"/>
          <w:numId w:val="4"/>
        </w:numPr>
        <w:spacing w:before="300" w:after="100"/>
        <w:contextualSpacing w:val="0"/>
        <w:outlineLvl w:val="2"/>
        <w:rPr>
          <w:rFonts w:eastAsiaTheme="majorEastAsia" w:cstheme="majorBidi"/>
          <w:vanish/>
        </w:rPr>
      </w:pPr>
    </w:p>
    <w:p w14:paraId="425CD626" w14:textId="77777777" w:rsidR="00B37E83" w:rsidRPr="00B37E83" w:rsidRDefault="00B37E83" w:rsidP="00B37E83">
      <w:pPr>
        <w:pStyle w:val="ListParagraph"/>
        <w:keepNext/>
        <w:keepLines/>
        <w:numPr>
          <w:ilvl w:val="2"/>
          <w:numId w:val="4"/>
        </w:numPr>
        <w:spacing w:before="300" w:after="100"/>
        <w:contextualSpacing w:val="0"/>
        <w:outlineLvl w:val="2"/>
        <w:rPr>
          <w:rFonts w:eastAsiaTheme="majorEastAsia" w:cstheme="majorBidi"/>
          <w:vanish/>
        </w:rPr>
      </w:pPr>
    </w:p>
    <w:p w14:paraId="0288380C" w14:textId="77777777" w:rsidR="00B37E83" w:rsidRPr="00B37E83" w:rsidRDefault="00B37E83" w:rsidP="00B37E83">
      <w:pPr>
        <w:pStyle w:val="ListParagraph"/>
        <w:keepNext/>
        <w:keepLines/>
        <w:numPr>
          <w:ilvl w:val="2"/>
          <w:numId w:val="4"/>
        </w:numPr>
        <w:spacing w:before="300" w:after="100"/>
        <w:contextualSpacing w:val="0"/>
        <w:outlineLvl w:val="2"/>
        <w:rPr>
          <w:rFonts w:eastAsiaTheme="majorEastAsia" w:cstheme="majorBidi"/>
          <w:vanish/>
        </w:rPr>
      </w:pPr>
    </w:p>
    <w:p w14:paraId="38AF0958" w14:textId="20FE908B" w:rsidR="00CA4D1E" w:rsidRDefault="00700833" w:rsidP="0070678C">
      <w:pPr>
        <w:pStyle w:val="Heading3Numbered"/>
      </w:pPr>
      <w:r>
        <w:t>T</w:t>
      </w:r>
      <w:r w:rsidR="00027821" w:rsidRPr="00700833">
        <w:t xml:space="preserve">he </w:t>
      </w:r>
      <w:r w:rsidR="00E44785">
        <w:t>C</w:t>
      </w:r>
      <w:r w:rsidR="00027821" w:rsidRPr="00700833">
        <w:t xml:space="preserve">hief </w:t>
      </w:r>
      <w:r w:rsidR="00E44785">
        <w:t>Finance</w:t>
      </w:r>
      <w:r w:rsidR="00027821" w:rsidRPr="00700833">
        <w:t xml:space="preserve"> </w:t>
      </w:r>
      <w:r w:rsidR="00E44785">
        <w:t>O</w:t>
      </w:r>
      <w:r w:rsidR="00630E96" w:rsidRPr="00700833">
        <w:t>fficer and</w:t>
      </w:r>
      <w:r w:rsidR="00B738BA" w:rsidRPr="00700833">
        <w:t xml:space="preserve"> </w:t>
      </w:r>
      <w:r w:rsidR="00411C99">
        <w:t>other Chief Office</w:t>
      </w:r>
      <w:r w:rsidR="00411C99" w:rsidRPr="00411C99">
        <w:t>rs</w:t>
      </w:r>
      <w:r w:rsidR="00411C99">
        <w:t xml:space="preserve"> </w:t>
      </w:r>
      <w:r w:rsidR="00B738BA" w:rsidRPr="007166D7">
        <w:t xml:space="preserve">should </w:t>
      </w:r>
      <w:r>
        <w:t xml:space="preserve">also </w:t>
      </w:r>
      <w:r w:rsidR="00B738BA" w:rsidRPr="007166D7">
        <w:t xml:space="preserve">promote a culture where budget holders and decision makers consult their </w:t>
      </w:r>
      <w:r w:rsidR="00901924">
        <w:t>F</w:t>
      </w:r>
      <w:r w:rsidR="00C27F57">
        <w:t>inance</w:t>
      </w:r>
      <w:r w:rsidR="00901924">
        <w:t xml:space="preserve"> Business Partner</w:t>
      </w:r>
      <w:r w:rsidR="00B738BA" w:rsidRPr="007166D7">
        <w:t xml:space="preserve"> in key strategic decisions that carry a financial</w:t>
      </w:r>
      <w:r w:rsidR="00E656D5">
        <w:t xml:space="preserve"> </w:t>
      </w:r>
      <w:r w:rsidR="00B738BA" w:rsidRPr="007166D7">
        <w:t>impact</w:t>
      </w:r>
      <w:r w:rsidR="00630E96" w:rsidRPr="007166D7">
        <w:t>.</w:t>
      </w:r>
    </w:p>
    <w:p w14:paraId="0727B80F" w14:textId="77777777" w:rsidR="008D3626" w:rsidRPr="008D3626" w:rsidRDefault="008D3626" w:rsidP="008D3626">
      <w:pPr>
        <w:pStyle w:val="BodyText"/>
      </w:pPr>
    </w:p>
    <w:p w14:paraId="6B6A7E68" w14:textId="4A185F0A" w:rsidR="000711DE" w:rsidRPr="00CC12DF" w:rsidRDefault="000711DE" w:rsidP="00171ABE">
      <w:pPr>
        <w:pStyle w:val="Heading2Numbered"/>
        <w:ind w:left="0"/>
        <w:rPr>
          <w:color w:val="002060"/>
        </w:rPr>
      </w:pPr>
      <w:bookmarkStart w:id="17" w:name="_Toc230249761"/>
      <w:r w:rsidRPr="00CC12DF">
        <w:rPr>
          <w:color w:val="002060"/>
        </w:rPr>
        <w:t xml:space="preserve">Budget </w:t>
      </w:r>
      <w:r w:rsidR="006F40AA" w:rsidRPr="00CC12DF">
        <w:rPr>
          <w:color w:val="002060"/>
        </w:rPr>
        <w:t>h</w:t>
      </w:r>
      <w:r w:rsidRPr="00CC12DF">
        <w:rPr>
          <w:color w:val="002060"/>
        </w:rPr>
        <w:t xml:space="preserve">older </w:t>
      </w:r>
      <w:r w:rsidR="006F40AA" w:rsidRPr="00CC12DF">
        <w:rPr>
          <w:color w:val="002060"/>
        </w:rPr>
        <w:t>r</w:t>
      </w:r>
      <w:r w:rsidRPr="00CC12DF">
        <w:rPr>
          <w:color w:val="002060"/>
        </w:rPr>
        <w:t>esponsibilities</w:t>
      </w:r>
      <w:bookmarkEnd w:id="17"/>
    </w:p>
    <w:p w14:paraId="4BBF3FA0" w14:textId="2754300A" w:rsidR="00DA7B67" w:rsidRPr="0070678C" w:rsidRDefault="00DA7B67" w:rsidP="0070678C">
      <w:pPr>
        <w:pStyle w:val="Heading3Numbered"/>
      </w:pPr>
      <w:r w:rsidRPr="0070678C">
        <w:t>Each Budget Holder is responsible for ensuring that:</w:t>
      </w:r>
    </w:p>
    <w:p w14:paraId="6BF9573C" w14:textId="7F0C9654" w:rsidR="00DA7B67" w:rsidRDefault="00DA7B67" w:rsidP="0074740C">
      <w:pPr>
        <w:pStyle w:val="BodyText"/>
        <w:numPr>
          <w:ilvl w:val="0"/>
          <w:numId w:val="29"/>
        </w:numPr>
        <w:spacing w:before="240" w:after="120" w:line="240" w:lineRule="auto"/>
        <w:ind w:left="851" w:hanging="283"/>
      </w:pPr>
      <w:r>
        <w:t>they sign off their budget</w:t>
      </w:r>
      <w:r w:rsidR="00E656D5">
        <w:t>, as approved through the approved annual plan,</w:t>
      </w:r>
      <w:r>
        <w:t xml:space="preserve"> at the start of the </w:t>
      </w:r>
      <w:r w:rsidRPr="00DE5E7B">
        <w:t>year</w:t>
      </w:r>
      <w:r w:rsidR="00DE5E7B" w:rsidRPr="00DE5E7B">
        <w:t xml:space="preserve"> and </w:t>
      </w:r>
      <w:r w:rsidR="008D3A4E" w:rsidRPr="00DE5E7B">
        <w:t>engage</w:t>
      </w:r>
      <w:r w:rsidR="008D3A4E">
        <w:t xml:space="preserve"> with relevant finance </w:t>
      </w:r>
      <w:proofErr w:type="gramStart"/>
      <w:r w:rsidR="008D3A4E">
        <w:t>teams</w:t>
      </w:r>
      <w:r w:rsidR="00936B23">
        <w:t xml:space="preserve">, </w:t>
      </w:r>
      <w:r>
        <w:t xml:space="preserve"> and</w:t>
      </w:r>
      <w:proofErr w:type="gramEnd"/>
      <w:r>
        <w:t xml:space="preserve"> provide accurate forecasts of out-turn </w:t>
      </w:r>
      <w:proofErr w:type="gramStart"/>
      <w:r w:rsidR="00E656D5">
        <w:t>during</w:t>
      </w:r>
      <w:r>
        <w:t xml:space="preserve"> the course of</w:t>
      </w:r>
      <w:proofErr w:type="gramEnd"/>
      <w:r>
        <w:t xml:space="preserve"> the year;</w:t>
      </w:r>
    </w:p>
    <w:p w14:paraId="4F7696E7" w14:textId="77777777" w:rsidR="00E44785" w:rsidRPr="00E44785" w:rsidRDefault="00E44785" w:rsidP="0074740C">
      <w:pPr>
        <w:pStyle w:val="BodyText"/>
        <w:numPr>
          <w:ilvl w:val="0"/>
          <w:numId w:val="29"/>
        </w:numPr>
        <w:spacing w:before="240" w:after="120" w:line="240" w:lineRule="auto"/>
        <w:ind w:left="851" w:hanging="283"/>
      </w:pPr>
      <w:r w:rsidRPr="00574B74">
        <w:t>the amount provided in the approved budget is not used in whole or in part for any purpose other than that specifically authorised, subject to the rules of virement;</w:t>
      </w:r>
    </w:p>
    <w:p w14:paraId="2BDC79AA" w14:textId="77777777" w:rsidR="00E44785" w:rsidRPr="00E44785" w:rsidRDefault="00E44785" w:rsidP="0074740C">
      <w:pPr>
        <w:pStyle w:val="BodyText"/>
        <w:numPr>
          <w:ilvl w:val="0"/>
          <w:numId w:val="29"/>
        </w:numPr>
        <w:spacing w:before="240" w:after="120" w:line="240" w:lineRule="auto"/>
        <w:ind w:left="851" w:hanging="283"/>
      </w:pPr>
      <w:r w:rsidRPr="00574B74">
        <w:t>no permanent employees are appointed without the approval of the Chief Executive Officer other than those provided for within the available resources and manpower establishment as approved by the Board</w:t>
      </w:r>
      <w:r w:rsidRPr="00E44785">
        <w:t>;</w:t>
      </w:r>
    </w:p>
    <w:p w14:paraId="3A1ED4B0" w14:textId="60DB919D" w:rsidR="00E57794" w:rsidRDefault="00005A55" w:rsidP="0074740C">
      <w:pPr>
        <w:pStyle w:val="BodyText"/>
        <w:numPr>
          <w:ilvl w:val="0"/>
          <w:numId w:val="29"/>
        </w:numPr>
        <w:spacing w:before="240" w:after="120" w:line="240" w:lineRule="auto"/>
        <w:ind w:left="851" w:hanging="283"/>
        <w:rPr>
          <w:color w:val="auto"/>
        </w:rPr>
      </w:pPr>
      <w:r w:rsidRPr="00005A55">
        <w:lastRenderedPageBreak/>
        <w:t>a.</w:t>
      </w:r>
      <w:r w:rsidRPr="00005A55">
        <w:tab/>
        <w:t>any likely controllable overspending or reduction of income which cannot be met by virement is not incurred without the prior consent of the following delegated officers - acting within their duties and with due regard to the breakeven statutory duty - within the limits set out below:</w:t>
      </w:r>
    </w:p>
    <w:tbl>
      <w:tblPr>
        <w:tblW w:w="0" w:type="auto"/>
        <w:tblInd w:w="720" w:type="dxa"/>
        <w:tblCellMar>
          <w:left w:w="0" w:type="dxa"/>
          <w:right w:w="0" w:type="dxa"/>
        </w:tblCellMar>
        <w:tblLook w:val="04A0" w:firstRow="1" w:lastRow="0" w:firstColumn="1" w:lastColumn="0" w:noHBand="0" w:noVBand="1"/>
      </w:tblPr>
      <w:tblGrid>
        <w:gridCol w:w="2756"/>
        <w:gridCol w:w="2726"/>
        <w:gridCol w:w="2679"/>
      </w:tblGrid>
      <w:tr w:rsidR="00005A55" w:rsidRPr="00005A55" w14:paraId="42589E1E" w14:textId="77777777" w:rsidTr="00005A55">
        <w:trPr>
          <w:trHeight w:val="310"/>
        </w:trPr>
        <w:tc>
          <w:tcPr>
            <w:tcW w:w="2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0F0F9A" w14:textId="77777777" w:rsidR="00005A55" w:rsidRPr="00005A55" w:rsidRDefault="00005A55" w:rsidP="00005A55">
            <w:pPr>
              <w:pStyle w:val="BodyText"/>
              <w:spacing w:after="0" w:line="240" w:lineRule="auto"/>
              <w:rPr>
                <w:color w:val="auto"/>
              </w:rPr>
            </w:pPr>
            <w:r w:rsidRPr="00005A55">
              <w:rPr>
                <w:color w:val="auto"/>
              </w:rPr>
              <w:t>Role</w:t>
            </w:r>
          </w:p>
        </w:tc>
        <w:tc>
          <w:tcPr>
            <w:tcW w:w="27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D68581" w14:textId="77777777" w:rsidR="00005A55" w:rsidRPr="00005A55" w:rsidRDefault="00005A55" w:rsidP="00005A55">
            <w:pPr>
              <w:pStyle w:val="BodyText"/>
              <w:spacing w:after="0" w:line="240" w:lineRule="auto"/>
              <w:rPr>
                <w:color w:val="auto"/>
              </w:rPr>
            </w:pPr>
            <w:r w:rsidRPr="00005A55">
              <w:rPr>
                <w:color w:val="auto"/>
              </w:rPr>
              <w:t>Programme budgets</w:t>
            </w:r>
          </w:p>
        </w:tc>
        <w:tc>
          <w:tcPr>
            <w:tcW w:w="2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C5153" w14:textId="77777777" w:rsidR="00005A55" w:rsidRPr="00005A55" w:rsidRDefault="00005A55" w:rsidP="00005A55">
            <w:pPr>
              <w:pStyle w:val="BodyText"/>
              <w:spacing w:after="0" w:line="240" w:lineRule="auto"/>
              <w:rPr>
                <w:color w:val="auto"/>
              </w:rPr>
            </w:pPr>
            <w:r w:rsidRPr="00005A55">
              <w:rPr>
                <w:color w:val="auto"/>
              </w:rPr>
              <w:t>Admin (running cost) budgets</w:t>
            </w:r>
          </w:p>
        </w:tc>
      </w:tr>
      <w:tr w:rsidR="00005A55" w:rsidRPr="00005A55" w14:paraId="070EC5D0" w14:textId="77777777" w:rsidTr="00005A55">
        <w:tc>
          <w:tcPr>
            <w:tcW w:w="2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6C1E2" w14:textId="39E1DFA5" w:rsidR="00005A55" w:rsidRPr="00005A55" w:rsidRDefault="009F6A59" w:rsidP="00005A55">
            <w:pPr>
              <w:pStyle w:val="BodyText"/>
              <w:spacing w:after="0" w:line="240" w:lineRule="auto"/>
              <w:rPr>
                <w:color w:val="auto"/>
              </w:rPr>
            </w:pPr>
            <w:r>
              <w:rPr>
                <w:color w:val="auto"/>
              </w:rPr>
              <w:t>Associate Director of Finance</w:t>
            </w:r>
          </w:p>
        </w:tc>
        <w:tc>
          <w:tcPr>
            <w:tcW w:w="2726" w:type="dxa"/>
            <w:tcBorders>
              <w:top w:val="nil"/>
              <w:left w:val="nil"/>
              <w:bottom w:val="single" w:sz="8" w:space="0" w:color="auto"/>
              <w:right w:val="single" w:sz="8" w:space="0" w:color="auto"/>
            </w:tcBorders>
            <w:tcMar>
              <w:top w:w="0" w:type="dxa"/>
              <w:left w:w="108" w:type="dxa"/>
              <w:bottom w:w="0" w:type="dxa"/>
              <w:right w:w="108" w:type="dxa"/>
            </w:tcMar>
            <w:hideMark/>
          </w:tcPr>
          <w:p w14:paraId="6A38E4E6" w14:textId="133A3F6D" w:rsidR="00005A55" w:rsidRPr="00005A55" w:rsidRDefault="00005A55" w:rsidP="00005A55">
            <w:pPr>
              <w:pStyle w:val="BodyText"/>
              <w:spacing w:after="0" w:line="240" w:lineRule="auto"/>
              <w:rPr>
                <w:color w:val="auto"/>
              </w:rPr>
            </w:pPr>
            <w:r w:rsidRPr="00005A55">
              <w:rPr>
                <w:color w:val="auto"/>
              </w:rPr>
              <w:t>&gt;£0</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14:paraId="23B237AE" w14:textId="27608627" w:rsidR="00005A55" w:rsidRPr="00005A55" w:rsidRDefault="00005A55" w:rsidP="00005A55">
            <w:pPr>
              <w:pStyle w:val="BodyText"/>
              <w:spacing w:after="0" w:line="240" w:lineRule="auto"/>
              <w:rPr>
                <w:color w:val="auto"/>
              </w:rPr>
            </w:pPr>
            <w:r w:rsidRPr="00005A55">
              <w:rPr>
                <w:color w:val="auto"/>
              </w:rPr>
              <w:t>&gt;£0</w:t>
            </w:r>
          </w:p>
        </w:tc>
      </w:tr>
      <w:tr w:rsidR="00005A55" w:rsidRPr="00005A55" w14:paraId="4DDC84AE" w14:textId="77777777" w:rsidTr="00005A55">
        <w:tc>
          <w:tcPr>
            <w:tcW w:w="2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7677F" w14:textId="10811CCA" w:rsidR="00005A55" w:rsidRPr="00005A55" w:rsidRDefault="009F6A59" w:rsidP="00005A55">
            <w:pPr>
              <w:pStyle w:val="BodyText"/>
              <w:spacing w:after="0" w:line="240" w:lineRule="auto"/>
              <w:rPr>
                <w:color w:val="auto"/>
              </w:rPr>
            </w:pPr>
            <w:r>
              <w:rPr>
                <w:color w:val="auto"/>
              </w:rPr>
              <w:t>Director of Operational Finance</w:t>
            </w:r>
          </w:p>
        </w:tc>
        <w:tc>
          <w:tcPr>
            <w:tcW w:w="2726" w:type="dxa"/>
            <w:tcBorders>
              <w:top w:val="nil"/>
              <w:left w:val="nil"/>
              <w:bottom w:val="single" w:sz="8" w:space="0" w:color="auto"/>
              <w:right w:val="single" w:sz="8" w:space="0" w:color="auto"/>
            </w:tcBorders>
            <w:tcMar>
              <w:top w:w="0" w:type="dxa"/>
              <w:left w:w="108" w:type="dxa"/>
              <w:bottom w:w="0" w:type="dxa"/>
              <w:right w:w="108" w:type="dxa"/>
            </w:tcMar>
            <w:hideMark/>
          </w:tcPr>
          <w:p w14:paraId="68DA500C" w14:textId="77777777" w:rsidR="00005A55" w:rsidRPr="00005A55" w:rsidRDefault="00005A55" w:rsidP="00005A55">
            <w:pPr>
              <w:pStyle w:val="BodyText"/>
              <w:spacing w:after="0" w:line="240" w:lineRule="auto"/>
              <w:rPr>
                <w:color w:val="auto"/>
              </w:rPr>
            </w:pPr>
            <w:r w:rsidRPr="00005A55">
              <w:rPr>
                <w:color w:val="auto"/>
              </w:rPr>
              <w:t>£250,000-£500,000</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14:paraId="1A3DBF31" w14:textId="77777777" w:rsidR="00005A55" w:rsidRPr="00005A55" w:rsidRDefault="00005A55" w:rsidP="00005A55">
            <w:pPr>
              <w:pStyle w:val="BodyText"/>
              <w:spacing w:after="0" w:line="240" w:lineRule="auto"/>
              <w:rPr>
                <w:color w:val="auto"/>
              </w:rPr>
            </w:pPr>
            <w:r w:rsidRPr="00005A55">
              <w:rPr>
                <w:color w:val="auto"/>
              </w:rPr>
              <w:t>£10,000 - £200,000</w:t>
            </w:r>
          </w:p>
        </w:tc>
      </w:tr>
      <w:tr w:rsidR="00005A55" w:rsidRPr="00005A55" w14:paraId="33E472FE" w14:textId="77777777" w:rsidTr="00005A55">
        <w:tc>
          <w:tcPr>
            <w:tcW w:w="2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AE4CC" w14:textId="6FE30B12" w:rsidR="00005A55" w:rsidRPr="00005A55" w:rsidRDefault="00005A55" w:rsidP="00005A55">
            <w:pPr>
              <w:pStyle w:val="BodyText"/>
              <w:spacing w:after="0" w:line="240" w:lineRule="auto"/>
              <w:rPr>
                <w:color w:val="auto"/>
              </w:rPr>
            </w:pPr>
            <w:r w:rsidRPr="00005A55">
              <w:rPr>
                <w:color w:val="auto"/>
              </w:rPr>
              <w:t>Chief Finance Officer</w:t>
            </w:r>
          </w:p>
        </w:tc>
        <w:tc>
          <w:tcPr>
            <w:tcW w:w="2726" w:type="dxa"/>
            <w:tcBorders>
              <w:top w:val="nil"/>
              <w:left w:val="nil"/>
              <w:bottom w:val="single" w:sz="8" w:space="0" w:color="auto"/>
              <w:right w:val="single" w:sz="8" w:space="0" w:color="auto"/>
            </w:tcBorders>
            <w:tcMar>
              <w:top w:w="0" w:type="dxa"/>
              <w:left w:w="108" w:type="dxa"/>
              <w:bottom w:w="0" w:type="dxa"/>
              <w:right w:w="108" w:type="dxa"/>
            </w:tcMar>
            <w:hideMark/>
          </w:tcPr>
          <w:p w14:paraId="2B883AEE" w14:textId="77777777" w:rsidR="00005A55" w:rsidRPr="00005A55" w:rsidRDefault="00005A55" w:rsidP="00005A55">
            <w:pPr>
              <w:pStyle w:val="BodyText"/>
              <w:spacing w:after="0" w:line="240" w:lineRule="auto"/>
              <w:rPr>
                <w:color w:val="auto"/>
              </w:rPr>
            </w:pPr>
            <w:r w:rsidRPr="00005A55">
              <w:rPr>
                <w:color w:val="auto"/>
              </w:rPr>
              <w:t>£500,000 - £2,500,000</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14:paraId="2449879E" w14:textId="77777777" w:rsidR="00005A55" w:rsidRPr="00005A55" w:rsidRDefault="00005A55" w:rsidP="00005A55">
            <w:pPr>
              <w:pStyle w:val="BodyText"/>
              <w:spacing w:after="0" w:line="240" w:lineRule="auto"/>
              <w:rPr>
                <w:color w:val="auto"/>
              </w:rPr>
            </w:pPr>
            <w:r w:rsidRPr="00005A55">
              <w:rPr>
                <w:color w:val="auto"/>
              </w:rPr>
              <w:t>£200,000 - £500,000</w:t>
            </w:r>
          </w:p>
        </w:tc>
      </w:tr>
      <w:tr w:rsidR="00005A55" w:rsidRPr="00005A55" w14:paraId="46E76CA1" w14:textId="77777777" w:rsidTr="00005A55">
        <w:tc>
          <w:tcPr>
            <w:tcW w:w="2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C55C2" w14:textId="77777777" w:rsidR="00005A55" w:rsidRPr="00005A55" w:rsidRDefault="00005A55" w:rsidP="00005A55">
            <w:pPr>
              <w:pStyle w:val="BodyText"/>
              <w:spacing w:after="0" w:line="240" w:lineRule="auto"/>
              <w:rPr>
                <w:color w:val="auto"/>
              </w:rPr>
            </w:pPr>
            <w:r w:rsidRPr="00005A55">
              <w:rPr>
                <w:color w:val="auto"/>
              </w:rPr>
              <w:t>CFO and CEO</w:t>
            </w:r>
          </w:p>
        </w:tc>
        <w:tc>
          <w:tcPr>
            <w:tcW w:w="2726" w:type="dxa"/>
            <w:tcBorders>
              <w:top w:val="nil"/>
              <w:left w:val="nil"/>
              <w:bottom w:val="single" w:sz="8" w:space="0" w:color="auto"/>
              <w:right w:val="single" w:sz="8" w:space="0" w:color="auto"/>
            </w:tcBorders>
            <w:tcMar>
              <w:top w:w="0" w:type="dxa"/>
              <w:left w:w="108" w:type="dxa"/>
              <w:bottom w:w="0" w:type="dxa"/>
              <w:right w:w="108" w:type="dxa"/>
            </w:tcMar>
            <w:hideMark/>
          </w:tcPr>
          <w:p w14:paraId="0012EB5E" w14:textId="77777777" w:rsidR="00005A55" w:rsidRPr="00005A55" w:rsidRDefault="00005A55" w:rsidP="00005A55">
            <w:pPr>
              <w:pStyle w:val="BodyText"/>
              <w:spacing w:after="0" w:line="240" w:lineRule="auto"/>
              <w:rPr>
                <w:color w:val="auto"/>
              </w:rPr>
            </w:pPr>
            <w:r w:rsidRPr="00005A55">
              <w:rPr>
                <w:color w:val="auto"/>
              </w:rPr>
              <w:t>&gt;£2,500,000</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14:paraId="70DC1A3C" w14:textId="77777777" w:rsidR="00005A55" w:rsidRPr="00005A55" w:rsidRDefault="00005A55" w:rsidP="00005A55">
            <w:pPr>
              <w:pStyle w:val="BodyText"/>
              <w:spacing w:after="0" w:line="240" w:lineRule="auto"/>
              <w:rPr>
                <w:color w:val="auto"/>
              </w:rPr>
            </w:pPr>
            <w:r w:rsidRPr="00005A55">
              <w:rPr>
                <w:color w:val="auto"/>
              </w:rPr>
              <w:t>&gt;£500,000</w:t>
            </w:r>
          </w:p>
        </w:tc>
      </w:tr>
    </w:tbl>
    <w:p w14:paraId="7C69F562" w14:textId="68FB2F15" w:rsidR="00005A55" w:rsidRPr="00005A55" w:rsidRDefault="00005A55" w:rsidP="00005A55">
      <w:pPr>
        <w:pStyle w:val="BodyText"/>
        <w:spacing w:before="240" w:after="120" w:line="240" w:lineRule="auto"/>
        <w:ind w:left="851"/>
        <w:rPr>
          <w:i/>
          <w:iCs/>
          <w:color w:val="auto"/>
          <w:sz w:val="20"/>
          <w:szCs w:val="20"/>
        </w:rPr>
      </w:pPr>
      <w:r w:rsidRPr="00005A55">
        <w:rPr>
          <w:i/>
          <w:iCs/>
          <w:color w:val="auto"/>
          <w:sz w:val="20"/>
          <w:szCs w:val="20"/>
        </w:rPr>
        <w:t xml:space="preserve">To be escalated to Board on a </w:t>
      </w:r>
      <w:proofErr w:type="gramStart"/>
      <w:r w:rsidRPr="00005A55">
        <w:rPr>
          <w:i/>
          <w:iCs/>
          <w:color w:val="auto"/>
          <w:sz w:val="20"/>
          <w:szCs w:val="20"/>
        </w:rPr>
        <w:t>case by case</w:t>
      </w:r>
      <w:proofErr w:type="gramEnd"/>
      <w:r w:rsidRPr="00005A55">
        <w:rPr>
          <w:i/>
          <w:iCs/>
          <w:color w:val="auto"/>
          <w:sz w:val="20"/>
          <w:szCs w:val="20"/>
        </w:rPr>
        <w:t xml:space="preserve"> basis, following oversight by Board </w:t>
      </w:r>
      <w:r>
        <w:rPr>
          <w:i/>
          <w:iCs/>
          <w:color w:val="auto"/>
          <w:sz w:val="20"/>
          <w:szCs w:val="20"/>
        </w:rPr>
        <w:t>c</w:t>
      </w:r>
      <w:r w:rsidRPr="00005A55">
        <w:rPr>
          <w:i/>
          <w:iCs/>
          <w:color w:val="auto"/>
          <w:sz w:val="20"/>
          <w:szCs w:val="20"/>
        </w:rPr>
        <w:t xml:space="preserve">ommittees with specific responsibility for the assurance of the service being commissioned.  </w:t>
      </w:r>
    </w:p>
    <w:p w14:paraId="14883FCB" w14:textId="2D96FD75" w:rsidR="00ED023D" w:rsidRDefault="00ED023D" w:rsidP="0074740C">
      <w:pPr>
        <w:pStyle w:val="BodyText"/>
        <w:numPr>
          <w:ilvl w:val="0"/>
          <w:numId w:val="29"/>
        </w:numPr>
        <w:spacing w:before="240" w:after="120" w:line="240" w:lineRule="auto"/>
        <w:ind w:left="851" w:hanging="283"/>
      </w:pPr>
      <w:r>
        <w:t>Full variance analysis from budgeted</w:t>
      </w:r>
      <w:r w:rsidRPr="00574B74">
        <w:rPr>
          <w:color w:val="auto"/>
        </w:rPr>
        <w:t xml:space="preserve"> plan and corrective actions must be provided;</w:t>
      </w:r>
    </w:p>
    <w:p w14:paraId="54D1411F" w14:textId="0E7E0B68" w:rsidR="00DA7B67" w:rsidRDefault="00DA7B67" w:rsidP="0074740C">
      <w:pPr>
        <w:pStyle w:val="BodyText"/>
        <w:numPr>
          <w:ilvl w:val="0"/>
          <w:numId w:val="29"/>
        </w:numPr>
        <w:spacing w:before="240" w:after="120" w:line="240" w:lineRule="auto"/>
        <w:ind w:left="851" w:hanging="283"/>
      </w:pPr>
      <w:r>
        <w:t>they participate in finance training to develop the skills and knowledge necessary to discharge their financial management duties;</w:t>
      </w:r>
    </w:p>
    <w:p w14:paraId="7ABC18BA" w14:textId="57AC9D15" w:rsidR="00DA7B67" w:rsidRDefault="00DA7B67" w:rsidP="0074740C">
      <w:pPr>
        <w:pStyle w:val="BodyText"/>
        <w:numPr>
          <w:ilvl w:val="0"/>
          <w:numId w:val="29"/>
        </w:numPr>
        <w:spacing w:before="240" w:after="120" w:line="240" w:lineRule="auto"/>
        <w:ind w:left="851" w:hanging="283"/>
      </w:pPr>
      <w:r>
        <w:t xml:space="preserve">they use the </w:t>
      </w:r>
      <w:r w:rsidR="00D61E0B">
        <w:t>ICB</w:t>
      </w:r>
      <w:r>
        <w:t>’s finance systems as required;</w:t>
      </w:r>
    </w:p>
    <w:p w14:paraId="1D0D88F0" w14:textId="2753E30B" w:rsidR="00DA7B67" w:rsidRPr="00574B74" w:rsidRDefault="00DA7B67" w:rsidP="0074740C">
      <w:pPr>
        <w:pStyle w:val="BodyText"/>
        <w:numPr>
          <w:ilvl w:val="0"/>
          <w:numId w:val="29"/>
        </w:numPr>
        <w:spacing w:before="240" w:after="120" w:line="240" w:lineRule="auto"/>
        <w:ind w:left="851" w:hanging="283"/>
        <w:rPr>
          <w:color w:val="auto"/>
        </w:rPr>
      </w:pPr>
      <w:r w:rsidRPr="00574B74">
        <w:rPr>
          <w:color w:val="auto"/>
        </w:rPr>
        <w:t xml:space="preserve">where matters of financial control risk are identified, they are communicated to the </w:t>
      </w:r>
      <w:r w:rsidR="00E44785" w:rsidRPr="00574B74">
        <w:rPr>
          <w:color w:val="auto"/>
        </w:rPr>
        <w:t>ICB f</w:t>
      </w:r>
      <w:r w:rsidRPr="00574B74">
        <w:rPr>
          <w:color w:val="auto"/>
        </w:rPr>
        <w:t xml:space="preserve">inance </w:t>
      </w:r>
      <w:r w:rsidR="00E44785" w:rsidRPr="00574B74">
        <w:rPr>
          <w:color w:val="auto"/>
        </w:rPr>
        <w:t>t</w:t>
      </w:r>
      <w:r w:rsidRPr="00574B74">
        <w:rPr>
          <w:color w:val="auto"/>
        </w:rPr>
        <w:t>eam as a matter of urgency;</w:t>
      </w:r>
    </w:p>
    <w:p w14:paraId="2B4B3249" w14:textId="6D632C78" w:rsidR="00DA7B67" w:rsidRDefault="00DA7B67" w:rsidP="0074740C">
      <w:pPr>
        <w:pStyle w:val="BodyText"/>
        <w:numPr>
          <w:ilvl w:val="0"/>
          <w:numId w:val="29"/>
        </w:numPr>
        <w:spacing w:before="240" w:after="120" w:line="240" w:lineRule="auto"/>
        <w:ind w:left="851" w:hanging="283"/>
      </w:pPr>
      <w:r>
        <w:t xml:space="preserve">they are accountable for their budgets and financial performance, even where contracts are negotiated on behalf of the </w:t>
      </w:r>
      <w:r w:rsidR="00D61E0B">
        <w:t>ICB</w:t>
      </w:r>
      <w:r>
        <w:t xml:space="preserve"> by another institution;</w:t>
      </w:r>
    </w:p>
    <w:p w14:paraId="7ED4DEDA" w14:textId="77777777" w:rsidR="00DA7B67" w:rsidRDefault="00DA7B67" w:rsidP="0074740C">
      <w:pPr>
        <w:pStyle w:val="BodyText"/>
        <w:numPr>
          <w:ilvl w:val="0"/>
          <w:numId w:val="29"/>
        </w:numPr>
        <w:spacing w:before="240" w:after="120" w:line="240" w:lineRule="auto"/>
        <w:ind w:left="851" w:hanging="283"/>
      </w:pPr>
      <w:r>
        <w:t>they take responsibility for ensuring that new members of staff are paid the correct salary and for making sure that final payments to and from employees are correct;</w:t>
      </w:r>
    </w:p>
    <w:p w14:paraId="47764436" w14:textId="093E944A" w:rsidR="00DA7B67" w:rsidRDefault="00DA7B67" w:rsidP="0074740C">
      <w:pPr>
        <w:pStyle w:val="BodyText"/>
        <w:numPr>
          <w:ilvl w:val="0"/>
          <w:numId w:val="29"/>
        </w:numPr>
        <w:spacing w:before="240" w:after="120" w:line="240" w:lineRule="auto"/>
        <w:ind w:left="851" w:hanging="283"/>
      </w:pPr>
      <w:r>
        <w:t>ensuring that the prices paid for goods are correct, represent value for money, that procedures are followed to prevent fraud and that all invoices are appropriately authorised and that the goods and services received are correct;</w:t>
      </w:r>
    </w:p>
    <w:p w14:paraId="40CB8046" w14:textId="4DFDDE93" w:rsidR="00E656D5" w:rsidRDefault="00E656D5" w:rsidP="0074740C">
      <w:pPr>
        <w:pStyle w:val="BodyText"/>
        <w:numPr>
          <w:ilvl w:val="0"/>
          <w:numId w:val="29"/>
        </w:numPr>
        <w:spacing w:before="240" w:after="120" w:line="240" w:lineRule="auto"/>
        <w:ind w:left="851" w:hanging="283"/>
      </w:pPr>
      <w:r>
        <w:t>aware of the ICB’s medium term plan and the im</w:t>
      </w:r>
      <w:r w:rsidR="00142FC3">
        <w:t>pact of in year commitments on future year</w:t>
      </w:r>
      <w:r w:rsidR="009F6C32">
        <w:t>s’</w:t>
      </w:r>
      <w:r w:rsidR="00142FC3">
        <w:t xml:space="preserve"> planning assumptions</w:t>
      </w:r>
    </w:p>
    <w:p w14:paraId="1F239E91" w14:textId="37100973" w:rsidR="00DA7B67" w:rsidRDefault="00DA7B67" w:rsidP="0074740C">
      <w:pPr>
        <w:pStyle w:val="BodyText"/>
        <w:numPr>
          <w:ilvl w:val="0"/>
          <w:numId w:val="29"/>
        </w:numPr>
        <w:spacing w:before="240" w:after="120" w:line="240" w:lineRule="auto"/>
        <w:ind w:left="851" w:hanging="283"/>
      </w:pPr>
      <w:r>
        <w:t>they are available to work with the auditors and respond to questions or recommendations</w:t>
      </w:r>
      <w:r w:rsidR="00862170">
        <w:t>.</w:t>
      </w:r>
    </w:p>
    <w:p w14:paraId="0DA16611" w14:textId="2A4CE45C" w:rsidR="00DA7B67" w:rsidRDefault="00DA7B67" w:rsidP="00BB6325">
      <w:pPr>
        <w:pStyle w:val="Heading3Numbered"/>
      </w:pPr>
      <w:r w:rsidRPr="00DA7B67">
        <w:lastRenderedPageBreak/>
        <w:t>The Executive Team is responsible for identifying and implementing cost improvements and income generation initiatives in accordance with the requirements of the Annual Plan and a balanced budget.</w:t>
      </w:r>
    </w:p>
    <w:p w14:paraId="6747A5EF" w14:textId="7DE48F97" w:rsidR="009F4DD3" w:rsidRPr="00342429" w:rsidRDefault="00D61E0B" w:rsidP="00171ABE">
      <w:pPr>
        <w:pStyle w:val="Heading2Numbered"/>
        <w:ind w:left="0"/>
        <w:rPr>
          <w:color w:val="002060"/>
          <w:sz w:val="32"/>
          <w:szCs w:val="24"/>
        </w:rPr>
      </w:pPr>
      <w:bookmarkStart w:id="18" w:name="_Toc230249762"/>
      <w:r w:rsidRPr="00342429">
        <w:rPr>
          <w:color w:val="002060"/>
          <w:sz w:val="32"/>
          <w:szCs w:val="24"/>
        </w:rPr>
        <w:t>Virement</w:t>
      </w:r>
      <w:bookmarkEnd w:id="18"/>
    </w:p>
    <w:p w14:paraId="18CCAF3A" w14:textId="3AC52021" w:rsidR="0070678C" w:rsidRPr="0074740C" w:rsidRDefault="0070678C" w:rsidP="0074740C">
      <w:pPr>
        <w:pStyle w:val="Heading3Numbered"/>
        <w:ind w:left="567" w:hanging="567"/>
      </w:pPr>
      <w:r w:rsidRPr="0074740C">
        <w:t>A virement is the discretionary transfer of budgetary provision between budget holders, services, programmes or expenditure categories that has not previously been approved through:</w:t>
      </w:r>
    </w:p>
    <w:p w14:paraId="7F6B0C99" w14:textId="77777777" w:rsidR="0070678C" w:rsidRPr="00BB6325" w:rsidRDefault="0070678C" w:rsidP="0074740C">
      <w:pPr>
        <w:pStyle w:val="ListBullet"/>
      </w:pPr>
      <w:r w:rsidRPr="00BB6325">
        <w:t>the Annual Operating Plan;</w:t>
      </w:r>
    </w:p>
    <w:p w14:paraId="48CF4331" w14:textId="7D0D00EB" w:rsidR="0070678C" w:rsidRPr="0070678C" w:rsidRDefault="0070678C" w:rsidP="0074740C">
      <w:pPr>
        <w:pStyle w:val="ListBullet"/>
      </w:pPr>
      <w:r>
        <w:t>a</w:t>
      </w:r>
      <w:r w:rsidRPr="0070678C">
        <w:t>pproved business cases;</w:t>
      </w:r>
    </w:p>
    <w:p w14:paraId="52518125" w14:textId="77777777" w:rsidR="0070678C" w:rsidRPr="0070678C" w:rsidRDefault="0070678C" w:rsidP="0074740C">
      <w:pPr>
        <w:pStyle w:val="ListBullet"/>
      </w:pPr>
      <w:r w:rsidRPr="0070678C">
        <w:t>approved financial recovery plans;</w:t>
      </w:r>
    </w:p>
    <w:p w14:paraId="1BD45A2F" w14:textId="77777777" w:rsidR="0070678C" w:rsidRPr="0070678C" w:rsidRDefault="0070678C" w:rsidP="0074740C">
      <w:pPr>
        <w:pStyle w:val="ListBullet"/>
      </w:pPr>
      <w:r w:rsidRPr="0070678C">
        <w:t>approved reserves deployment;</w:t>
      </w:r>
    </w:p>
    <w:p w14:paraId="3C948C93" w14:textId="77777777" w:rsidR="0070678C" w:rsidRPr="0070678C" w:rsidRDefault="0070678C" w:rsidP="0074740C">
      <w:pPr>
        <w:pStyle w:val="ListBullet"/>
      </w:pPr>
      <w:r w:rsidRPr="0070678C">
        <w:t>NHS England allocation adjustments; or</w:t>
      </w:r>
    </w:p>
    <w:p w14:paraId="29E1B287" w14:textId="77777777" w:rsidR="0070678C" w:rsidRPr="0070678C" w:rsidRDefault="0070678C" w:rsidP="0074740C">
      <w:pPr>
        <w:pStyle w:val="ListBullet"/>
      </w:pPr>
      <w:r w:rsidRPr="0070678C">
        <w:t>other approved planning or reporting processes.</w:t>
      </w:r>
    </w:p>
    <w:p w14:paraId="528AB7B0" w14:textId="477ED848" w:rsidR="0070678C" w:rsidRPr="0074740C" w:rsidRDefault="0070678C" w:rsidP="0074740C">
      <w:pPr>
        <w:pStyle w:val="Heading3Numbered"/>
        <w:rPr>
          <w:rFonts w:eastAsiaTheme="minorHAnsi"/>
        </w:rPr>
      </w:pPr>
      <w:r w:rsidRPr="0074740C">
        <w:rPr>
          <w:rFonts w:eastAsiaTheme="minorHAnsi"/>
        </w:rPr>
        <w:t>The following shall not constitute virements for the purposes of delegated approval limits:</w:t>
      </w:r>
    </w:p>
    <w:p w14:paraId="2EB5C231" w14:textId="77777777" w:rsidR="0070678C" w:rsidRPr="0070678C" w:rsidRDefault="0070678C" w:rsidP="0074740C">
      <w:pPr>
        <w:pStyle w:val="ListBullet"/>
      </w:pPr>
      <w:r w:rsidRPr="0070678C">
        <w:t>allocation adjustments notified by NHS England;</w:t>
      </w:r>
    </w:p>
    <w:p w14:paraId="0DE790D2" w14:textId="77777777" w:rsidR="0070678C" w:rsidRPr="0070678C" w:rsidRDefault="0070678C" w:rsidP="0074740C">
      <w:pPr>
        <w:pStyle w:val="ListBullet"/>
      </w:pPr>
      <w:r w:rsidRPr="0070678C">
        <w:t>reserve releases approved through the financial planning process or in-year financial recovery process;</w:t>
      </w:r>
    </w:p>
    <w:p w14:paraId="07AB728D" w14:textId="77777777" w:rsidR="0070678C" w:rsidRPr="0070678C" w:rsidRDefault="0070678C" w:rsidP="0074740C">
      <w:pPr>
        <w:pStyle w:val="ListBullet"/>
      </w:pPr>
      <w:r w:rsidRPr="0070678C">
        <w:t>technical accounting adjustments required for statutory reporting, ISFE reporting or compliance with accounting standards;</w:t>
      </w:r>
    </w:p>
    <w:p w14:paraId="57564FC8" w14:textId="77777777" w:rsidR="0070678C" w:rsidRPr="0070678C" w:rsidRDefault="0070678C" w:rsidP="0074740C">
      <w:pPr>
        <w:pStyle w:val="ListBullet"/>
      </w:pPr>
      <w:r w:rsidRPr="0070678C">
        <w:t>transfers required to reflect centrally managed budgets, pay awards, prescribing allocations, contingency deployment or other non-discretionary adjustments;</w:t>
      </w:r>
    </w:p>
    <w:p w14:paraId="253F8D37" w14:textId="77777777" w:rsidR="0070678C" w:rsidRPr="0070678C" w:rsidRDefault="0070678C" w:rsidP="0074740C">
      <w:pPr>
        <w:pStyle w:val="ListBullet"/>
      </w:pPr>
      <w:r w:rsidRPr="0070678C">
        <w:t>budget realignments required to reflect changes in organisational structures, operational responsibility or portfolio ownership;</w:t>
      </w:r>
    </w:p>
    <w:p w14:paraId="12193D7E" w14:textId="77777777" w:rsidR="0070678C" w:rsidRPr="0070678C" w:rsidRDefault="0070678C" w:rsidP="0074740C">
      <w:pPr>
        <w:pStyle w:val="ListBullet"/>
      </w:pPr>
      <w:r w:rsidRPr="0070678C">
        <w:t>adjustments required to accurately reflect expenditure, income or commitments to the appropriate budget holder or cost centre; and</w:t>
      </w:r>
    </w:p>
    <w:p w14:paraId="6D58BB53" w14:textId="0FF42931" w:rsidR="0070678C" w:rsidRPr="0070678C" w:rsidRDefault="0070678C" w:rsidP="0074740C">
      <w:pPr>
        <w:pStyle w:val="ListBullet"/>
      </w:pPr>
      <w:r w:rsidRPr="0070678C">
        <w:t xml:space="preserve">any other technical budget movements authorised by the </w:t>
      </w:r>
      <w:r w:rsidR="0016726D">
        <w:t>Chief Finance Officer</w:t>
      </w:r>
      <w:r w:rsidRPr="0070678C">
        <w:t xml:space="preserve"> for the purposes of effective financial management and reporting.</w:t>
      </w:r>
    </w:p>
    <w:p w14:paraId="001753F8" w14:textId="728E2DAE" w:rsidR="0070678C" w:rsidRPr="0074740C" w:rsidRDefault="0070678C" w:rsidP="0074740C">
      <w:pPr>
        <w:pStyle w:val="Heading3Numbered"/>
        <w:rPr>
          <w:rFonts w:eastAsiaTheme="minorHAnsi"/>
        </w:rPr>
      </w:pPr>
      <w:r w:rsidRPr="0074740C">
        <w:rPr>
          <w:rFonts w:eastAsiaTheme="minorHAnsi"/>
        </w:rPr>
        <w:lastRenderedPageBreak/>
        <w:t xml:space="preserve">The </w:t>
      </w:r>
      <w:r w:rsidR="0016726D">
        <w:rPr>
          <w:rFonts w:eastAsiaTheme="minorHAnsi"/>
        </w:rPr>
        <w:t>Chief Finance Officer</w:t>
      </w:r>
      <w:r w:rsidRPr="0074740C">
        <w:rPr>
          <w:rFonts w:eastAsiaTheme="minorHAnsi"/>
        </w:rPr>
        <w:t xml:space="preserve"> shall maintain appropriate records of all budget virements</w:t>
      </w:r>
      <w:r w:rsidR="00572AFD">
        <w:rPr>
          <w:rFonts w:eastAsiaTheme="minorHAnsi"/>
        </w:rPr>
        <w:t>,</w:t>
      </w:r>
      <w:r w:rsidRPr="0074740C">
        <w:rPr>
          <w:rFonts w:eastAsiaTheme="minorHAnsi"/>
        </w:rPr>
        <w:t xml:space="preserve"> and budget realignments undertaken during the financial year.</w:t>
      </w:r>
    </w:p>
    <w:p w14:paraId="19FD0B77" w14:textId="3B917AC4" w:rsidR="0070678C" w:rsidRPr="0074740C" w:rsidRDefault="0070678C" w:rsidP="0074740C">
      <w:pPr>
        <w:pStyle w:val="Heading3Numbered"/>
        <w:rPr>
          <w:rFonts w:eastAsiaTheme="minorHAnsi"/>
        </w:rPr>
      </w:pPr>
      <w:r w:rsidRPr="0074740C">
        <w:rPr>
          <w:rFonts w:eastAsiaTheme="minorHAnsi"/>
        </w:rPr>
        <w:t xml:space="preserve">The </w:t>
      </w:r>
      <w:r w:rsidR="0016726D">
        <w:rPr>
          <w:rFonts w:eastAsiaTheme="minorHAnsi"/>
        </w:rPr>
        <w:t>Chief Finance Officer</w:t>
      </w:r>
      <w:r w:rsidRPr="0074740C">
        <w:rPr>
          <w:rFonts w:eastAsiaTheme="minorHAnsi"/>
        </w:rPr>
        <w:t xml:space="preserve"> shall report material in-year budget realignments, reserve deployments and virements to the Finance Committee as part of routine financial reporting.</w:t>
      </w:r>
    </w:p>
    <w:p w14:paraId="1BAD9AD1" w14:textId="11DCC17C" w:rsidR="0070678C" w:rsidRPr="0074740C" w:rsidRDefault="0070678C" w:rsidP="0074740C">
      <w:pPr>
        <w:pStyle w:val="Heading3Numbered"/>
        <w:rPr>
          <w:rFonts w:eastAsiaTheme="minorHAnsi"/>
        </w:rPr>
      </w:pPr>
      <w:r w:rsidRPr="0074740C">
        <w:rPr>
          <w:rFonts w:eastAsiaTheme="minorHAnsi"/>
        </w:rPr>
        <w:t>Virements must not:</w:t>
      </w:r>
    </w:p>
    <w:p w14:paraId="6E19091A" w14:textId="77777777" w:rsidR="0070678C" w:rsidRPr="0070678C" w:rsidRDefault="0070678C" w:rsidP="0074740C">
      <w:pPr>
        <w:pStyle w:val="ListBullet"/>
      </w:pPr>
      <w:r w:rsidRPr="0070678C">
        <w:t>create recurring commitments from non-recurring resources without appropriate approval;</w:t>
      </w:r>
    </w:p>
    <w:p w14:paraId="517F1584" w14:textId="77777777" w:rsidR="0070678C" w:rsidRPr="0070678C" w:rsidRDefault="0070678C" w:rsidP="0074740C">
      <w:pPr>
        <w:pStyle w:val="ListBullet"/>
      </w:pPr>
      <w:r w:rsidRPr="0070678C">
        <w:t>adversely impact delivery of statutory financial duties;</w:t>
      </w:r>
    </w:p>
    <w:p w14:paraId="13695886" w14:textId="77777777" w:rsidR="0070678C" w:rsidRPr="0070678C" w:rsidRDefault="0070678C" w:rsidP="0074740C">
      <w:pPr>
        <w:pStyle w:val="ListBullet"/>
      </w:pPr>
      <w:r w:rsidRPr="0070678C">
        <w:t>circumvent procurement, business case or approval processes; or</w:t>
      </w:r>
    </w:p>
    <w:p w14:paraId="4B75D1EA" w14:textId="77777777" w:rsidR="0070678C" w:rsidRPr="0070678C" w:rsidRDefault="0070678C" w:rsidP="0074740C">
      <w:pPr>
        <w:pStyle w:val="ListBullet"/>
      </w:pPr>
      <w:r w:rsidRPr="0070678C">
        <w:t>be used to artificially avoid escalation thresholds set out within these Standing Financial Instructions.</w:t>
      </w:r>
    </w:p>
    <w:p w14:paraId="0202D18F" w14:textId="5C3480B7" w:rsidR="0070678C" w:rsidRPr="00BB6325" w:rsidRDefault="0070678C" w:rsidP="00BB6325">
      <w:pPr>
        <w:pStyle w:val="Heading3Numbered"/>
        <w:rPr>
          <w:rFonts w:eastAsiaTheme="minorHAnsi"/>
        </w:rPr>
      </w:pPr>
      <w:r w:rsidRPr="00BB6325">
        <w:rPr>
          <w:rFonts w:eastAsiaTheme="minorHAnsi"/>
        </w:rPr>
        <w:t>Delegated limits for discretionary virements are:</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240"/>
        <w:gridCol w:w="2661"/>
      </w:tblGrid>
      <w:tr w:rsidR="0070678C" w:rsidRPr="0070678C" w14:paraId="17ADC0D0" w14:textId="77777777" w:rsidTr="00BB6325">
        <w:trPr>
          <w:tblCellSpacing w:w="0" w:type="dxa"/>
        </w:trPr>
        <w:tc>
          <w:tcPr>
            <w:tcW w:w="0" w:type="auto"/>
            <w:vAlign w:val="center"/>
            <w:hideMark/>
          </w:tcPr>
          <w:p w14:paraId="412DFC5E" w14:textId="77777777" w:rsidR="0070678C" w:rsidRPr="0070678C" w:rsidRDefault="0070678C" w:rsidP="00BB6325">
            <w:pPr>
              <w:pStyle w:val="Heading3Numbered"/>
              <w:numPr>
                <w:ilvl w:val="0"/>
                <w:numId w:val="0"/>
              </w:numPr>
              <w:ind w:left="992"/>
            </w:pPr>
            <w:r w:rsidRPr="0070678C">
              <w:t>Delegated Officer</w:t>
            </w:r>
          </w:p>
        </w:tc>
        <w:tc>
          <w:tcPr>
            <w:tcW w:w="0" w:type="auto"/>
            <w:vAlign w:val="center"/>
            <w:hideMark/>
          </w:tcPr>
          <w:p w14:paraId="1C377C71" w14:textId="77777777" w:rsidR="0070678C" w:rsidRPr="0070678C" w:rsidRDefault="0070678C" w:rsidP="00BB6325">
            <w:pPr>
              <w:pStyle w:val="Heading3Numbered"/>
              <w:numPr>
                <w:ilvl w:val="0"/>
                <w:numId w:val="0"/>
              </w:numPr>
              <w:ind w:left="992"/>
            </w:pPr>
            <w:r w:rsidRPr="0070678C">
              <w:t>Value</w:t>
            </w:r>
          </w:p>
        </w:tc>
      </w:tr>
      <w:tr w:rsidR="0070678C" w:rsidRPr="0070678C" w14:paraId="4EEC8DC9" w14:textId="77777777" w:rsidTr="0070678C">
        <w:trPr>
          <w:trHeight w:val="343"/>
          <w:tblCellSpacing w:w="0" w:type="dxa"/>
        </w:trPr>
        <w:tc>
          <w:tcPr>
            <w:tcW w:w="0" w:type="auto"/>
            <w:vAlign w:val="center"/>
            <w:hideMark/>
          </w:tcPr>
          <w:p w14:paraId="7FCAA328" w14:textId="77777777" w:rsidR="0070678C" w:rsidRPr="0070678C" w:rsidRDefault="0070678C" w:rsidP="00BB6325">
            <w:pPr>
              <w:pStyle w:val="Heading3Numbered"/>
              <w:numPr>
                <w:ilvl w:val="0"/>
                <w:numId w:val="0"/>
              </w:numPr>
              <w:ind w:left="992"/>
            </w:pPr>
            <w:r w:rsidRPr="0070678C">
              <w:t>Budget Holder</w:t>
            </w:r>
          </w:p>
        </w:tc>
        <w:tc>
          <w:tcPr>
            <w:tcW w:w="0" w:type="auto"/>
            <w:vAlign w:val="center"/>
            <w:hideMark/>
          </w:tcPr>
          <w:p w14:paraId="1BE22D32" w14:textId="77777777" w:rsidR="0070678C" w:rsidRPr="0070678C" w:rsidRDefault="0070678C" w:rsidP="00BB6325">
            <w:pPr>
              <w:pStyle w:val="Heading3Numbered"/>
              <w:numPr>
                <w:ilvl w:val="0"/>
                <w:numId w:val="0"/>
              </w:numPr>
              <w:ind w:left="992"/>
            </w:pPr>
            <w:r w:rsidRPr="0070678C">
              <w:t>Up to £10k</w:t>
            </w:r>
          </w:p>
        </w:tc>
      </w:tr>
      <w:tr w:rsidR="0070678C" w:rsidRPr="0070678C" w14:paraId="2CCD3952" w14:textId="77777777" w:rsidTr="00BB6325">
        <w:trPr>
          <w:tblCellSpacing w:w="0" w:type="dxa"/>
        </w:trPr>
        <w:tc>
          <w:tcPr>
            <w:tcW w:w="0" w:type="auto"/>
            <w:vAlign w:val="center"/>
            <w:hideMark/>
          </w:tcPr>
          <w:p w14:paraId="640841D1" w14:textId="77777777" w:rsidR="0070678C" w:rsidRPr="0070678C" w:rsidRDefault="0070678C" w:rsidP="00BB6325">
            <w:pPr>
              <w:pStyle w:val="Heading3Numbered"/>
              <w:numPr>
                <w:ilvl w:val="0"/>
                <w:numId w:val="0"/>
              </w:numPr>
              <w:ind w:left="992"/>
            </w:pPr>
            <w:r w:rsidRPr="0070678C">
              <w:t>Deputy Chief Officer</w:t>
            </w:r>
          </w:p>
        </w:tc>
        <w:tc>
          <w:tcPr>
            <w:tcW w:w="0" w:type="auto"/>
            <w:vAlign w:val="center"/>
            <w:hideMark/>
          </w:tcPr>
          <w:p w14:paraId="2BD1DB0D" w14:textId="77777777" w:rsidR="0070678C" w:rsidRPr="0070678C" w:rsidRDefault="0070678C" w:rsidP="00BB6325">
            <w:pPr>
              <w:pStyle w:val="Heading3Numbered"/>
              <w:numPr>
                <w:ilvl w:val="0"/>
                <w:numId w:val="0"/>
              </w:numPr>
              <w:ind w:left="992"/>
            </w:pPr>
            <w:r w:rsidRPr="0070678C">
              <w:t>£10k to £25k</w:t>
            </w:r>
          </w:p>
        </w:tc>
      </w:tr>
      <w:tr w:rsidR="0070678C" w:rsidRPr="0070678C" w14:paraId="7A2D58BF" w14:textId="77777777" w:rsidTr="00BB6325">
        <w:trPr>
          <w:tblCellSpacing w:w="0" w:type="dxa"/>
        </w:trPr>
        <w:tc>
          <w:tcPr>
            <w:tcW w:w="0" w:type="auto"/>
            <w:vAlign w:val="center"/>
            <w:hideMark/>
          </w:tcPr>
          <w:p w14:paraId="581CD016" w14:textId="77777777" w:rsidR="0070678C" w:rsidRPr="0070678C" w:rsidRDefault="0070678C" w:rsidP="00BB6325">
            <w:pPr>
              <w:pStyle w:val="Heading3Numbered"/>
              <w:numPr>
                <w:ilvl w:val="0"/>
                <w:numId w:val="0"/>
              </w:numPr>
              <w:ind w:left="992"/>
            </w:pPr>
            <w:r w:rsidRPr="0070678C">
              <w:t>Chief Officer for their Directorate</w:t>
            </w:r>
          </w:p>
        </w:tc>
        <w:tc>
          <w:tcPr>
            <w:tcW w:w="0" w:type="auto"/>
            <w:vAlign w:val="center"/>
            <w:hideMark/>
          </w:tcPr>
          <w:p w14:paraId="6467B8E7" w14:textId="77777777" w:rsidR="0070678C" w:rsidRPr="0070678C" w:rsidRDefault="0070678C" w:rsidP="00BB6325">
            <w:pPr>
              <w:pStyle w:val="Heading3Numbered"/>
              <w:numPr>
                <w:ilvl w:val="0"/>
                <w:numId w:val="0"/>
              </w:numPr>
              <w:ind w:left="992"/>
            </w:pPr>
            <w:r w:rsidRPr="0070678C">
              <w:t>£25k to £250k</w:t>
            </w:r>
          </w:p>
        </w:tc>
      </w:tr>
      <w:tr w:rsidR="0070678C" w:rsidRPr="0070678C" w14:paraId="0010B277" w14:textId="77777777" w:rsidTr="00BB6325">
        <w:trPr>
          <w:tblCellSpacing w:w="0" w:type="dxa"/>
        </w:trPr>
        <w:tc>
          <w:tcPr>
            <w:tcW w:w="0" w:type="auto"/>
            <w:vAlign w:val="center"/>
            <w:hideMark/>
          </w:tcPr>
          <w:p w14:paraId="38B287A1" w14:textId="04790F6C" w:rsidR="0070678C" w:rsidRPr="0070678C" w:rsidRDefault="0016726D" w:rsidP="00BB6325">
            <w:pPr>
              <w:pStyle w:val="Heading3Numbered"/>
              <w:numPr>
                <w:ilvl w:val="0"/>
                <w:numId w:val="0"/>
              </w:numPr>
              <w:ind w:left="992"/>
            </w:pPr>
            <w:r>
              <w:t>Chief Finance Officer</w:t>
            </w:r>
          </w:p>
        </w:tc>
        <w:tc>
          <w:tcPr>
            <w:tcW w:w="0" w:type="auto"/>
            <w:vAlign w:val="center"/>
            <w:hideMark/>
          </w:tcPr>
          <w:p w14:paraId="340A093A" w14:textId="77777777" w:rsidR="0070678C" w:rsidRPr="0070678C" w:rsidRDefault="0070678C" w:rsidP="00BB6325">
            <w:pPr>
              <w:pStyle w:val="Heading3Numbered"/>
              <w:numPr>
                <w:ilvl w:val="0"/>
                <w:numId w:val="0"/>
              </w:numPr>
              <w:ind w:left="992"/>
            </w:pPr>
            <w:r w:rsidRPr="0070678C">
              <w:t>£250k to £500k</w:t>
            </w:r>
          </w:p>
        </w:tc>
      </w:tr>
      <w:tr w:rsidR="0070678C" w:rsidRPr="0070678C" w14:paraId="31D3411A" w14:textId="77777777" w:rsidTr="00BB6325">
        <w:trPr>
          <w:tblCellSpacing w:w="0" w:type="dxa"/>
        </w:trPr>
        <w:tc>
          <w:tcPr>
            <w:tcW w:w="0" w:type="auto"/>
            <w:vAlign w:val="center"/>
            <w:hideMark/>
          </w:tcPr>
          <w:p w14:paraId="1B9B4225" w14:textId="0DDDC9EF" w:rsidR="0070678C" w:rsidRPr="0070678C" w:rsidRDefault="0070678C" w:rsidP="00BB6325">
            <w:pPr>
              <w:pStyle w:val="Heading3Numbered"/>
              <w:numPr>
                <w:ilvl w:val="0"/>
                <w:numId w:val="0"/>
              </w:numPr>
              <w:ind w:left="992"/>
            </w:pPr>
            <w:r w:rsidRPr="0070678C">
              <w:t xml:space="preserve">Chief Executive Officer and </w:t>
            </w:r>
            <w:r w:rsidR="0016726D">
              <w:t xml:space="preserve">Chief </w:t>
            </w:r>
            <w:r w:rsidR="009873D9">
              <w:t xml:space="preserve">Finance </w:t>
            </w:r>
            <w:r w:rsidR="0016726D">
              <w:t>Officer</w:t>
            </w:r>
          </w:p>
        </w:tc>
        <w:tc>
          <w:tcPr>
            <w:tcW w:w="0" w:type="auto"/>
            <w:vAlign w:val="center"/>
            <w:hideMark/>
          </w:tcPr>
          <w:p w14:paraId="2E4540CA" w14:textId="77777777" w:rsidR="0070678C" w:rsidRPr="0070678C" w:rsidRDefault="0070678C" w:rsidP="00BB6325">
            <w:pPr>
              <w:pStyle w:val="Heading3Numbered"/>
              <w:numPr>
                <w:ilvl w:val="0"/>
                <w:numId w:val="0"/>
              </w:numPr>
              <w:ind w:left="992"/>
            </w:pPr>
            <w:r w:rsidRPr="0070678C">
              <w:t>£500k to £1m</w:t>
            </w:r>
          </w:p>
        </w:tc>
      </w:tr>
      <w:tr w:rsidR="0070678C" w:rsidRPr="0070678C" w14:paraId="6BD7AE33" w14:textId="77777777" w:rsidTr="00BB6325">
        <w:trPr>
          <w:tblCellSpacing w:w="0" w:type="dxa"/>
        </w:trPr>
        <w:tc>
          <w:tcPr>
            <w:tcW w:w="0" w:type="auto"/>
            <w:vAlign w:val="center"/>
            <w:hideMark/>
          </w:tcPr>
          <w:p w14:paraId="1075535F" w14:textId="77777777" w:rsidR="0070678C" w:rsidRPr="0070678C" w:rsidRDefault="0070678C" w:rsidP="00BB6325">
            <w:pPr>
              <w:pStyle w:val="Heading3Numbered"/>
              <w:numPr>
                <w:ilvl w:val="0"/>
                <w:numId w:val="0"/>
              </w:numPr>
              <w:ind w:left="992"/>
            </w:pPr>
            <w:r w:rsidRPr="0070678C">
              <w:t>Board</w:t>
            </w:r>
          </w:p>
        </w:tc>
        <w:tc>
          <w:tcPr>
            <w:tcW w:w="0" w:type="auto"/>
            <w:vAlign w:val="center"/>
            <w:hideMark/>
          </w:tcPr>
          <w:p w14:paraId="000C1D96" w14:textId="77777777" w:rsidR="0070678C" w:rsidRPr="0070678C" w:rsidRDefault="0070678C" w:rsidP="00BB6325">
            <w:pPr>
              <w:pStyle w:val="Heading3Numbered"/>
              <w:numPr>
                <w:ilvl w:val="0"/>
                <w:numId w:val="0"/>
              </w:numPr>
              <w:ind w:left="992"/>
            </w:pPr>
            <w:r w:rsidRPr="0070678C">
              <w:t>Over £1m</w:t>
            </w:r>
          </w:p>
        </w:tc>
      </w:tr>
    </w:tbl>
    <w:p w14:paraId="4C42C8E6" w14:textId="53472542" w:rsidR="0070678C" w:rsidRPr="00BB6325" w:rsidRDefault="0070678C" w:rsidP="00BB6325">
      <w:pPr>
        <w:pStyle w:val="Heading3Numbered"/>
        <w:rPr>
          <w:rFonts w:eastAsiaTheme="minorHAnsi"/>
        </w:rPr>
      </w:pPr>
      <w:r w:rsidRPr="00BB6325">
        <w:rPr>
          <w:rFonts w:eastAsiaTheme="minorHAnsi"/>
        </w:rPr>
        <w:t xml:space="preserve">The </w:t>
      </w:r>
      <w:r w:rsidR="0016726D">
        <w:rPr>
          <w:rFonts w:eastAsiaTheme="minorHAnsi"/>
        </w:rPr>
        <w:t>Chief Finance Officer</w:t>
      </w:r>
      <w:r w:rsidRPr="00BB6325">
        <w:rPr>
          <w:rFonts w:eastAsiaTheme="minorHAnsi"/>
        </w:rPr>
        <w:t xml:space="preserve"> may </w:t>
      </w:r>
      <w:r w:rsidR="00572AFD" w:rsidRPr="00BB6325">
        <w:rPr>
          <w:rFonts w:eastAsiaTheme="minorHAnsi"/>
        </w:rPr>
        <w:t>approve,</w:t>
      </w:r>
      <w:r w:rsidRPr="00BB6325">
        <w:rPr>
          <w:rFonts w:eastAsiaTheme="minorHAnsi"/>
        </w:rPr>
        <w:t xml:space="preserve"> and action technical and non-discretionary budget movements of any value where required to:</w:t>
      </w:r>
    </w:p>
    <w:p w14:paraId="3921F619" w14:textId="77777777" w:rsidR="0070678C" w:rsidRPr="0070678C" w:rsidRDefault="0070678C" w:rsidP="00BB6325">
      <w:pPr>
        <w:pStyle w:val="ListBullet"/>
      </w:pPr>
      <w:r w:rsidRPr="0070678C">
        <w:t>implement NHS England allocation changes;</w:t>
      </w:r>
    </w:p>
    <w:p w14:paraId="66EAEF0D" w14:textId="77777777" w:rsidR="0070678C" w:rsidRPr="0070678C" w:rsidRDefault="0070678C" w:rsidP="00BB6325">
      <w:pPr>
        <w:pStyle w:val="ListBullet"/>
      </w:pPr>
      <w:r w:rsidRPr="0070678C">
        <w:t>support statutory financial reporting;</w:t>
      </w:r>
    </w:p>
    <w:p w14:paraId="5DE1BAFC" w14:textId="77777777" w:rsidR="0070678C" w:rsidRPr="0070678C" w:rsidRDefault="0070678C" w:rsidP="00BB6325">
      <w:pPr>
        <w:pStyle w:val="ListBullet"/>
      </w:pPr>
      <w:r w:rsidRPr="0070678C">
        <w:t>support month-end or year-end accounting processes;</w:t>
      </w:r>
    </w:p>
    <w:p w14:paraId="37CF39A7" w14:textId="77777777" w:rsidR="0070678C" w:rsidRPr="0070678C" w:rsidRDefault="0070678C" w:rsidP="00BB6325">
      <w:pPr>
        <w:pStyle w:val="ListBullet"/>
      </w:pPr>
      <w:r w:rsidRPr="0070678C">
        <w:t>reflect approved reserve deployment;</w:t>
      </w:r>
    </w:p>
    <w:p w14:paraId="23E388EC" w14:textId="77777777" w:rsidR="0070678C" w:rsidRPr="0070678C" w:rsidRDefault="0070678C" w:rsidP="00BB6325">
      <w:pPr>
        <w:pStyle w:val="ListBullet"/>
      </w:pPr>
      <w:r w:rsidRPr="0070678C">
        <w:t>support financial recovery actions already approved through governance processes; or</w:t>
      </w:r>
    </w:p>
    <w:p w14:paraId="6B08839F" w14:textId="77777777" w:rsidR="0070678C" w:rsidRPr="0070678C" w:rsidRDefault="0070678C" w:rsidP="00BB6325">
      <w:pPr>
        <w:pStyle w:val="ListBullet"/>
      </w:pPr>
      <w:r w:rsidRPr="0070678C">
        <w:lastRenderedPageBreak/>
        <w:t>ensure the effective operational management of the ICB’s financial position.</w:t>
      </w:r>
    </w:p>
    <w:p w14:paraId="40AE6C50" w14:textId="6B37FDDB" w:rsidR="0070678C" w:rsidRPr="00BB6325" w:rsidRDefault="0070678C" w:rsidP="00BB6325">
      <w:pPr>
        <w:pStyle w:val="Heading3Numbered"/>
        <w:rPr>
          <w:rFonts w:eastAsiaTheme="minorHAnsi"/>
        </w:rPr>
      </w:pPr>
      <w:r w:rsidRPr="00BB6325">
        <w:rPr>
          <w:rFonts w:eastAsiaTheme="minorHAnsi"/>
        </w:rPr>
        <w:t>All material recurring virements impacting future financial years shall be reported to the Finance Committee and reflected within the Medium-Term Financial Plan</w:t>
      </w:r>
      <w:r w:rsidR="00BB6325">
        <w:rPr>
          <w:rFonts w:eastAsiaTheme="minorHAnsi"/>
        </w:rPr>
        <w:t xml:space="preserve"> as appropriate</w:t>
      </w:r>
      <w:r w:rsidRPr="00BB6325">
        <w:rPr>
          <w:rFonts w:eastAsiaTheme="minorHAnsi"/>
        </w:rPr>
        <w:t>.</w:t>
      </w:r>
    </w:p>
    <w:p w14:paraId="3D643C32" w14:textId="09F20474" w:rsidR="009F4DD3" w:rsidRPr="00342429" w:rsidRDefault="009F4DD3" w:rsidP="00171ABE">
      <w:pPr>
        <w:pStyle w:val="Heading2Numbered"/>
        <w:spacing w:before="360"/>
        <w:ind w:left="0"/>
        <w:rPr>
          <w:color w:val="002060"/>
          <w:sz w:val="32"/>
          <w:szCs w:val="24"/>
        </w:rPr>
      </w:pPr>
      <w:bookmarkStart w:id="19" w:name="_Toc230249763"/>
      <w:r w:rsidRPr="00342429">
        <w:rPr>
          <w:color w:val="002060"/>
          <w:sz w:val="32"/>
          <w:szCs w:val="24"/>
        </w:rPr>
        <w:t>Reserves</w:t>
      </w:r>
      <w:bookmarkEnd w:id="19"/>
    </w:p>
    <w:p w14:paraId="1A5BEC7C" w14:textId="01DBD396" w:rsidR="009F4DD3" w:rsidRDefault="009F4DD3" w:rsidP="0070678C">
      <w:pPr>
        <w:pStyle w:val="Heading3Numbered"/>
      </w:pPr>
      <w:r>
        <w:t>Reserves cover all expenditure budgets not currently allocated to a budget holder and are held centrally.</w:t>
      </w:r>
    </w:p>
    <w:p w14:paraId="1C5ED871" w14:textId="43126EC1" w:rsidR="009F4DD3" w:rsidRPr="009B13DB" w:rsidRDefault="009F4DD3" w:rsidP="00171ABE">
      <w:pPr>
        <w:pStyle w:val="Heading2Numbered"/>
        <w:spacing w:before="360"/>
        <w:ind w:left="0"/>
        <w:rPr>
          <w:color w:val="002060"/>
          <w:sz w:val="32"/>
          <w:szCs w:val="24"/>
        </w:rPr>
      </w:pPr>
      <w:bookmarkStart w:id="20" w:name="_Toc230249764"/>
      <w:r w:rsidRPr="009B13DB">
        <w:rPr>
          <w:color w:val="002060"/>
          <w:sz w:val="32"/>
          <w:szCs w:val="24"/>
        </w:rPr>
        <w:t xml:space="preserve">Capital </w:t>
      </w:r>
      <w:r w:rsidR="006F40AA" w:rsidRPr="009B13DB">
        <w:rPr>
          <w:color w:val="002060"/>
          <w:sz w:val="32"/>
          <w:szCs w:val="24"/>
        </w:rPr>
        <w:t>e</w:t>
      </w:r>
      <w:r w:rsidRPr="009B13DB">
        <w:rPr>
          <w:color w:val="002060"/>
          <w:sz w:val="32"/>
          <w:szCs w:val="24"/>
        </w:rPr>
        <w:t>xpenditure</w:t>
      </w:r>
      <w:bookmarkEnd w:id="20"/>
    </w:p>
    <w:p w14:paraId="4879EE7D" w14:textId="07A62932" w:rsidR="009F4DD3" w:rsidRDefault="009F4DD3" w:rsidP="0070678C">
      <w:pPr>
        <w:pStyle w:val="Heading3Numbered"/>
      </w:pPr>
      <w:r>
        <w:t xml:space="preserve">The general rules applying to delegation and reporting shall also apply to capital expenditure.  </w:t>
      </w:r>
    </w:p>
    <w:p w14:paraId="22A49A4D" w14:textId="2CFDB601" w:rsidR="009F4DD3" w:rsidRPr="009B13DB" w:rsidRDefault="009F4DD3" w:rsidP="00171ABE">
      <w:pPr>
        <w:pStyle w:val="Heading2Numbered"/>
        <w:spacing w:before="360"/>
        <w:ind w:left="0"/>
        <w:rPr>
          <w:color w:val="002060"/>
          <w:sz w:val="32"/>
          <w:szCs w:val="24"/>
        </w:rPr>
      </w:pPr>
      <w:bookmarkStart w:id="21" w:name="_Toc230249765"/>
      <w:r w:rsidRPr="009B13DB">
        <w:rPr>
          <w:color w:val="002060"/>
          <w:sz w:val="32"/>
          <w:szCs w:val="24"/>
        </w:rPr>
        <w:t xml:space="preserve">Monitoring </w:t>
      </w:r>
      <w:r w:rsidR="006F40AA" w:rsidRPr="009B13DB">
        <w:rPr>
          <w:color w:val="002060"/>
          <w:sz w:val="32"/>
          <w:szCs w:val="24"/>
        </w:rPr>
        <w:t>r</w:t>
      </w:r>
      <w:r w:rsidRPr="009B13DB">
        <w:rPr>
          <w:color w:val="002060"/>
          <w:sz w:val="32"/>
          <w:szCs w:val="24"/>
        </w:rPr>
        <w:t>eturns</w:t>
      </w:r>
      <w:bookmarkEnd w:id="21"/>
    </w:p>
    <w:p w14:paraId="5F92271A" w14:textId="44169DF8" w:rsidR="009F4DD3" w:rsidRPr="00574B74" w:rsidRDefault="009F4DD3" w:rsidP="0070678C">
      <w:pPr>
        <w:pStyle w:val="Heading3Numbered"/>
      </w:pPr>
      <w:r w:rsidRPr="00574B74">
        <w:t xml:space="preserve">The Chief </w:t>
      </w:r>
      <w:r w:rsidR="00220CAE" w:rsidRPr="00574B74">
        <w:t xml:space="preserve">Finance </w:t>
      </w:r>
      <w:r w:rsidRPr="00574B74">
        <w:t xml:space="preserve">Officer is responsible for ensuring that the appropriate monitoring forms are submitted to the </w:t>
      </w:r>
      <w:r w:rsidR="0023516A" w:rsidRPr="00574B74">
        <w:t>ICB</w:t>
      </w:r>
      <w:r w:rsidRPr="00574B74">
        <w:t xml:space="preserve">’s designated external regulators. </w:t>
      </w:r>
    </w:p>
    <w:p w14:paraId="6AEDE0B3" w14:textId="77777777" w:rsidR="009F4DD3" w:rsidRDefault="009F4DD3" w:rsidP="004905FD">
      <w:pPr>
        <w:pStyle w:val="BodyText"/>
        <w:sectPr w:rsidR="009F4DD3" w:rsidSect="00767381">
          <w:pgSz w:w="11906" w:h="16838" w:code="9"/>
          <w:pgMar w:top="1418" w:right="1928" w:bottom="1247" w:left="1077" w:header="624" w:footer="510" w:gutter="0"/>
          <w:cols w:space="708"/>
          <w:docGrid w:linePitch="360"/>
        </w:sectPr>
      </w:pPr>
    </w:p>
    <w:p w14:paraId="44000C80" w14:textId="73D1252D" w:rsidR="0072512C" w:rsidRPr="009B13DB" w:rsidRDefault="00267006" w:rsidP="004C1E2A">
      <w:pPr>
        <w:pStyle w:val="Heading1Numbered"/>
        <w:ind w:left="0"/>
        <w:rPr>
          <w:color w:val="002060"/>
          <w:sz w:val="56"/>
          <w:szCs w:val="28"/>
        </w:rPr>
      </w:pPr>
      <w:bookmarkStart w:id="22" w:name="_Toc230249766"/>
      <w:r w:rsidRPr="009B13DB">
        <w:rPr>
          <w:color w:val="002060"/>
          <w:sz w:val="56"/>
          <w:szCs w:val="28"/>
        </w:rPr>
        <w:lastRenderedPageBreak/>
        <w:t>Income, b</w:t>
      </w:r>
      <w:r w:rsidR="0072512C" w:rsidRPr="009B13DB">
        <w:rPr>
          <w:color w:val="002060"/>
          <w:sz w:val="56"/>
          <w:szCs w:val="28"/>
        </w:rPr>
        <w:t>anking arrangements</w:t>
      </w:r>
      <w:r w:rsidRPr="009B13DB">
        <w:rPr>
          <w:color w:val="002060"/>
          <w:sz w:val="56"/>
          <w:szCs w:val="28"/>
        </w:rPr>
        <w:t xml:space="preserve"> </w:t>
      </w:r>
      <w:r w:rsidR="0072512C" w:rsidRPr="009B13DB">
        <w:rPr>
          <w:color w:val="002060"/>
          <w:sz w:val="56"/>
          <w:szCs w:val="28"/>
        </w:rPr>
        <w:t>and debt recovery</w:t>
      </w:r>
      <w:bookmarkEnd w:id="22"/>
    </w:p>
    <w:p w14:paraId="630FF931" w14:textId="62F8D2C1" w:rsidR="00B56585" w:rsidRPr="009B13DB" w:rsidRDefault="00267006" w:rsidP="00171ABE">
      <w:pPr>
        <w:pStyle w:val="Heading2Numbered"/>
        <w:ind w:left="0"/>
        <w:rPr>
          <w:color w:val="002060"/>
        </w:rPr>
      </w:pPr>
      <w:bookmarkStart w:id="23" w:name="_Toc230249767"/>
      <w:r w:rsidRPr="009B13DB">
        <w:rPr>
          <w:color w:val="002060"/>
        </w:rPr>
        <w:t>Income</w:t>
      </w:r>
      <w:bookmarkEnd w:id="23"/>
      <w:r w:rsidRPr="009B13DB">
        <w:rPr>
          <w:color w:val="002060"/>
        </w:rPr>
        <w:t xml:space="preserve"> </w:t>
      </w:r>
    </w:p>
    <w:p w14:paraId="03040C59" w14:textId="6E08CF92" w:rsidR="00B56585" w:rsidRPr="00B56585" w:rsidRDefault="003F55ED" w:rsidP="0070678C">
      <w:pPr>
        <w:pStyle w:val="Heading3Numbered"/>
      </w:pPr>
      <w:r w:rsidRPr="007166D7">
        <w:t xml:space="preserve">An </w:t>
      </w:r>
      <w:r w:rsidR="006D7A79" w:rsidRPr="007166D7">
        <w:t>ICB</w:t>
      </w:r>
      <w:r w:rsidRPr="007166D7">
        <w:t xml:space="preserve"> has power to do anything </w:t>
      </w:r>
      <w:r w:rsidR="007166D7">
        <w:t xml:space="preserve">specified in section 7(2)(a), (b) and (e) to (h) of </w:t>
      </w:r>
      <w:r w:rsidR="00895954" w:rsidRPr="007166D7">
        <w:t>the Health and Medicines Act 1988</w:t>
      </w:r>
      <w:r w:rsidR="007166D7">
        <w:t xml:space="preserve"> for the purpose of making additional income available for improving the health service</w:t>
      </w:r>
      <w:r w:rsidR="00B56585">
        <w:t>.</w:t>
      </w:r>
    </w:p>
    <w:p w14:paraId="50E9E7F3" w14:textId="4F1D62D2" w:rsidR="00460D5A" w:rsidRDefault="00460D5A" w:rsidP="0070678C">
      <w:pPr>
        <w:pStyle w:val="Heading3Numbered"/>
      </w:pPr>
      <w:r>
        <w:t xml:space="preserve">The </w:t>
      </w:r>
      <w:r w:rsidR="00220CAE">
        <w:t>C</w:t>
      </w:r>
      <w:r>
        <w:t xml:space="preserve">hief </w:t>
      </w:r>
      <w:r w:rsidR="00220CAE">
        <w:t>F</w:t>
      </w:r>
      <w:r>
        <w:t>inanc</w:t>
      </w:r>
      <w:r w:rsidR="00220CAE">
        <w:t>e</w:t>
      </w:r>
      <w:r>
        <w:t xml:space="preserve"> </w:t>
      </w:r>
      <w:r w:rsidR="00220CAE">
        <w:t>O</w:t>
      </w:r>
      <w:r>
        <w:t xml:space="preserve">fficer </w:t>
      </w:r>
      <w:r w:rsidRPr="00060A24">
        <w:t>is responsible for</w:t>
      </w:r>
      <w:r>
        <w:t>:</w:t>
      </w:r>
    </w:p>
    <w:p w14:paraId="3874370F" w14:textId="013C9B8C" w:rsidR="00460D5A" w:rsidRPr="00806C40" w:rsidRDefault="00460D5A" w:rsidP="00460D5A">
      <w:pPr>
        <w:pStyle w:val="BodyText"/>
        <w:numPr>
          <w:ilvl w:val="0"/>
          <w:numId w:val="10"/>
        </w:numPr>
        <w:spacing w:before="240" w:after="120" w:line="240" w:lineRule="auto"/>
        <w:ind w:left="992" w:hanging="357"/>
      </w:pPr>
      <w:r>
        <w:t xml:space="preserve">ensuring order to bank practices are designed and operated to support, efficient, accurate and timely invoicing and receipting of cash. The processes and procedures should be standardised and </w:t>
      </w:r>
      <w:r w:rsidR="00220CAE" w:rsidRPr="00574B74">
        <w:rPr>
          <w:color w:val="auto"/>
        </w:rPr>
        <w:t xml:space="preserve">consistent </w:t>
      </w:r>
      <w:r>
        <w:t xml:space="preserve">across the NHS </w:t>
      </w:r>
      <w:r w:rsidR="00220CAE">
        <w:t>s</w:t>
      </w:r>
      <w:r>
        <w:t xml:space="preserve">ystem by working with the Shared Services provider; and </w:t>
      </w:r>
    </w:p>
    <w:p w14:paraId="5D7115DC" w14:textId="43C93C83" w:rsidR="00460D5A" w:rsidRPr="00A34BC6" w:rsidRDefault="00460D5A" w:rsidP="00460D5A">
      <w:pPr>
        <w:pStyle w:val="BodyText"/>
        <w:numPr>
          <w:ilvl w:val="0"/>
          <w:numId w:val="10"/>
        </w:numPr>
        <w:spacing w:before="240" w:after="120" w:line="240" w:lineRule="auto"/>
        <w:ind w:left="992"/>
      </w:pPr>
      <w:r>
        <w:rPr>
          <w:rFonts w:cs="Arial"/>
          <w:color w:val="000000"/>
        </w:rPr>
        <w:t xml:space="preserve">ensuring the debt management </w:t>
      </w:r>
      <w:r w:rsidR="00AA4162" w:rsidRPr="00574B74">
        <w:rPr>
          <w:color w:val="auto"/>
        </w:rPr>
        <w:t>procedures</w:t>
      </w:r>
      <w:r w:rsidR="00AA4162" w:rsidRPr="00D83255">
        <w:rPr>
          <w:color w:val="FF0000"/>
        </w:rPr>
        <w:t xml:space="preserve"> </w:t>
      </w:r>
      <w:r>
        <w:rPr>
          <w:rFonts w:cs="Arial"/>
          <w:color w:val="000000"/>
        </w:rPr>
        <w:t>reflects the debt management objectives of the ICB and the prevailing risks</w:t>
      </w:r>
      <w:r w:rsidR="00F66D66">
        <w:rPr>
          <w:rFonts w:cs="Arial"/>
          <w:color w:val="000000"/>
        </w:rPr>
        <w:t>.</w:t>
      </w:r>
    </w:p>
    <w:p w14:paraId="5D572656" w14:textId="7451FCFC" w:rsidR="00A34BC6" w:rsidRDefault="00A34BC6" w:rsidP="0070678C">
      <w:pPr>
        <w:pStyle w:val="Heading3Numbered"/>
      </w:pPr>
      <w:r>
        <w:t xml:space="preserve">The ICB shall follow the </w:t>
      </w:r>
      <w:r w:rsidRPr="003273B5">
        <w:t xml:space="preserve">Department of </w:t>
      </w:r>
      <w:r w:rsidRPr="00574B74">
        <w:rPr>
          <w:color w:val="auto"/>
        </w:rPr>
        <w:t>Health and Social Care</w:t>
      </w:r>
      <w:r w:rsidR="00574B74" w:rsidRPr="00574B74">
        <w:rPr>
          <w:color w:val="auto"/>
        </w:rPr>
        <w:t xml:space="preserve"> </w:t>
      </w:r>
      <w:r w:rsidRPr="00574B74">
        <w:t>costing manual in setting prices for NHS service agreements</w:t>
      </w:r>
      <w:r w:rsidR="00F66D66">
        <w:t>.</w:t>
      </w:r>
    </w:p>
    <w:p w14:paraId="73669B6A" w14:textId="6BBA2AEA" w:rsidR="00A34BC6" w:rsidRDefault="00A34BC6" w:rsidP="0070678C">
      <w:pPr>
        <w:pStyle w:val="Heading3Numbered"/>
      </w:pPr>
      <w:r w:rsidRPr="00460D5A">
        <w:t xml:space="preserve">The Chief Finance Officer is responsible for approving and regularly reviewing the level of all fees and charges other than those determined by the </w:t>
      </w:r>
      <w:r w:rsidRPr="003273B5">
        <w:t xml:space="preserve">Department of </w:t>
      </w:r>
      <w:r w:rsidRPr="00574B74">
        <w:rPr>
          <w:color w:val="auto"/>
        </w:rPr>
        <w:t xml:space="preserve">Health and Social Care </w:t>
      </w:r>
      <w:r w:rsidRPr="00460D5A">
        <w:t>or by Statute.  Independent professional advice on matters of valuation shall be taken as necessary.</w:t>
      </w:r>
    </w:p>
    <w:p w14:paraId="42651A1C" w14:textId="639E313B" w:rsidR="00A34BC6" w:rsidRDefault="00A34BC6" w:rsidP="0070678C">
      <w:pPr>
        <w:pStyle w:val="Heading3Numbered"/>
      </w:pPr>
      <w:r w:rsidRPr="00460D5A">
        <w:t xml:space="preserve">All employees must inform the </w:t>
      </w:r>
      <w:r w:rsidRPr="00574B74">
        <w:rPr>
          <w:color w:val="auto"/>
        </w:rPr>
        <w:t xml:space="preserve">management accounts team </w:t>
      </w:r>
      <w:r w:rsidRPr="00AE7F87">
        <w:rPr>
          <w:color w:val="auto"/>
        </w:rPr>
        <w:t xml:space="preserve">promptly </w:t>
      </w:r>
      <w:r w:rsidRPr="00460D5A">
        <w:t>of money due arising from transactions which they initiate/deal with, including all contracts, leases, tenancy agreements, private patient undertakings and other transactions</w:t>
      </w:r>
      <w:r>
        <w:t>.</w:t>
      </w:r>
    </w:p>
    <w:p w14:paraId="7E6FBA5F" w14:textId="77777777" w:rsidR="0062066C" w:rsidRPr="009B13DB" w:rsidRDefault="0062066C" w:rsidP="0062066C">
      <w:pPr>
        <w:pStyle w:val="Heading2Numbered"/>
        <w:spacing w:before="240" w:after="360"/>
        <w:ind w:left="0"/>
        <w:rPr>
          <w:color w:val="002060"/>
        </w:rPr>
      </w:pPr>
      <w:bookmarkStart w:id="24" w:name="_Toc230249768"/>
      <w:r w:rsidRPr="009B13DB">
        <w:rPr>
          <w:color w:val="002060"/>
        </w:rPr>
        <w:t>Banking</w:t>
      </w:r>
      <w:bookmarkEnd w:id="24"/>
      <w:r w:rsidRPr="009B13DB">
        <w:rPr>
          <w:color w:val="002060"/>
        </w:rPr>
        <w:t xml:space="preserve"> </w:t>
      </w:r>
    </w:p>
    <w:p w14:paraId="1F4DC833" w14:textId="6F785F8B" w:rsidR="0062066C" w:rsidRDefault="0062066C" w:rsidP="0070678C">
      <w:pPr>
        <w:pStyle w:val="Heading3Numbered"/>
      </w:pPr>
      <w:r>
        <w:t>The C</w:t>
      </w:r>
      <w:r w:rsidR="00F66D66">
        <w:t xml:space="preserve">hief </w:t>
      </w:r>
      <w:r>
        <w:t>F</w:t>
      </w:r>
      <w:r w:rsidR="00F66D66">
        <w:t xml:space="preserve">inance </w:t>
      </w:r>
      <w:r>
        <w:t>O</w:t>
      </w:r>
      <w:r w:rsidR="00F66D66">
        <w:t>fficer</w:t>
      </w:r>
      <w:r>
        <w:t xml:space="preserve"> is responsible for ensuring the ICB complies with any directions issued by the Secretary</w:t>
      </w:r>
      <w:r w:rsidRPr="007166D7">
        <w:t xml:space="preserve"> of State </w:t>
      </w:r>
      <w:r>
        <w:t>with regards to the use of specified banking facilities for any specified purposes.</w:t>
      </w:r>
    </w:p>
    <w:p w14:paraId="7269A3B9" w14:textId="4CF4C7F2" w:rsidR="00460D5A" w:rsidRDefault="00460D5A" w:rsidP="0070678C">
      <w:pPr>
        <w:pStyle w:val="Heading3Numbered"/>
      </w:pPr>
      <w:r>
        <w:t xml:space="preserve">The </w:t>
      </w:r>
      <w:r w:rsidR="00220CAE">
        <w:t>C</w:t>
      </w:r>
      <w:r>
        <w:t xml:space="preserve">hief </w:t>
      </w:r>
      <w:r w:rsidR="00220CAE">
        <w:t>F</w:t>
      </w:r>
      <w:r>
        <w:t>inanc</w:t>
      </w:r>
      <w:r w:rsidR="00220CAE">
        <w:t>e</w:t>
      </w:r>
      <w:r>
        <w:t xml:space="preserve"> </w:t>
      </w:r>
      <w:r w:rsidR="00220CAE">
        <w:t>O</w:t>
      </w:r>
      <w:r>
        <w:t xml:space="preserve">fficer will ensure that: </w:t>
      </w:r>
    </w:p>
    <w:p w14:paraId="137F540D" w14:textId="5B8F555B" w:rsidR="00806C40" w:rsidRDefault="00D93BC8" w:rsidP="0040233D">
      <w:pPr>
        <w:pStyle w:val="BodyText"/>
        <w:numPr>
          <w:ilvl w:val="0"/>
          <w:numId w:val="11"/>
        </w:numPr>
      </w:pPr>
      <w:r>
        <w:t xml:space="preserve">the </w:t>
      </w:r>
      <w:r w:rsidR="00806C40" w:rsidRPr="007166D7">
        <w:t>ICB</w:t>
      </w:r>
      <w:r w:rsidRPr="007166D7">
        <w:t xml:space="preserve"> holds the</w:t>
      </w:r>
      <w:r w:rsidR="00D25EBB" w:rsidRPr="007166D7">
        <w:t xml:space="preserve"> minimum number of bank accounts required to run the</w:t>
      </w:r>
      <w:r w:rsidR="00D25EBB">
        <w:t xml:space="preserve"> organisation effectively. These should be raised through the </w:t>
      </w:r>
      <w:r w:rsidR="008B420B">
        <w:t>g</w:t>
      </w:r>
      <w:r w:rsidR="00D25EBB">
        <w:t xml:space="preserve">overnment </w:t>
      </w:r>
      <w:r w:rsidR="008B420B">
        <w:t>b</w:t>
      </w:r>
      <w:r w:rsidR="00D25EBB">
        <w:t>anking</w:t>
      </w:r>
      <w:r w:rsidR="008B420B">
        <w:t xml:space="preserve"> services</w:t>
      </w:r>
      <w:r w:rsidR="00D25EBB">
        <w:t xml:space="preserve"> contract</w:t>
      </w:r>
      <w:r>
        <w:t>;</w:t>
      </w:r>
      <w:r w:rsidR="00CA3FC1">
        <w:t xml:space="preserve"> and </w:t>
      </w:r>
    </w:p>
    <w:p w14:paraId="199C113D" w14:textId="475D2BC1" w:rsidR="00D93BC8" w:rsidRDefault="00D93BC8" w:rsidP="0040233D">
      <w:pPr>
        <w:pStyle w:val="BodyText"/>
        <w:numPr>
          <w:ilvl w:val="0"/>
          <w:numId w:val="11"/>
        </w:numPr>
      </w:pPr>
      <w:r>
        <w:lastRenderedPageBreak/>
        <w:t>the ICB has effective cash management policies and procedures in place</w:t>
      </w:r>
      <w:r w:rsidR="00CA3FC1">
        <w:t>.</w:t>
      </w:r>
    </w:p>
    <w:p w14:paraId="59BD16BA" w14:textId="4FE6EBAD" w:rsidR="00670335" w:rsidRPr="009B13DB" w:rsidRDefault="00D25EBB" w:rsidP="00171ABE">
      <w:pPr>
        <w:pStyle w:val="Heading2Numbered"/>
        <w:spacing w:before="360" w:after="240"/>
        <w:ind w:left="0"/>
        <w:rPr>
          <w:color w:val="002060"/>
        </w:rPr>
      </w:pPr>
      <w:r w:rsidRPr="009B13DB">
        <w:rPr>
          <w:color w:val="002060"/>
        </w:rPr>
        <w:t xml:space="preserve"> </w:t>
      </w:r>
      <w:bookmarkStart w:id="25" w:name="_Toc230249769"/>
      <w:r w:rsidR="00670335" w:rsidRPr="009B13DB">
        <w:rPr>
          <w:color w:val="002060"/>
        </w:rPr>
        <w:t>Debt management</w:t>
      </w:r>
      <w:bookmarkEnd w:id="25"/>
      <w:r w:rsidR="00670335" w:rsidRPr="009B13DB">
        <w:rPr>
          <w:color w:val="002060"/>
        </w:rPr>
        <w:t xml:space="preserve"> </w:t>
      </w:r>
    </w:p>
    <w:p w14:paraId="1FB9FE31" w14:textId="175BA6DF" w:rsidR="00460D5A" w:rsidRDefault="00460D5A" w:rsidP="0070678C">
      <w:pPr>
        <w:pStyle w:val="Heading3Numbered"/>
      </w:pPr>
      <w:r>
        <w:t xml:space="preserve">The </w:t>
      </w:r>
      <w:r w:rsidR="00220CAE">
        <w:t>C</w:t>
      </w:r>
      <w:r>
        <w:t xml:space="preserve">hief </w:t>
      </w:r>
      <w:r w:rsidR="00220CAE">
        <w:t>F</w:t>
      </w:r>
      <w:r>
        <w:t>inanc</w:t>
      </w:r>
      <w:r w:rsidR="00220CAE">
        <w:t>e</w:t>
      </w:r>
      <w:r>
        <w:t xml:space="preserve"> </w:t>
      </w:r>
      <w:r w:rsidR="00220CAE">
        <w:t>O</w:t>
      </w:r>
      <w:r>
        <w:t xml:space="preserve">fficer is responsible for the ICB debt management </w:t>
      </w:r>
      <w:r w:rsidR="00761A9C" w:rsidRPr="00574B74">
        <w:rPr>
          <w:color w:val="auto"/>
        </w:rPr>
        <w:t>policies and procedures</w:t>
      </w:r>
      <w:r w:rsidRPr="00574B74">
        <w:rPr>
          <w:color w:val="auto"/>
        </w:rPr>
        <w:t xml:space="preserve">. </w:t>
      </w:r>
    </w:p>
    <w:p w14:paraId="3D595759" w14:textId="77777777" w:rsidR="00460D5A" w:rsidRDefault="00460D5A" w:rsidP="0070678C">
      <w:pPr>
        <w:pStyle w:val="Heading3Numbered"/>
      </w:pPr>
      <w:r>
        <w:t>This includes:</w:t>
      </w:r>
    </w:p>
    <w:p w14:paraId="2778B7FE" w14:textId="206D8942" w:rsidR="00460D5A" w:rsidRDefault="00460D5A" w:rsidP="008E4666">
      <w:pPr>
        <w:pStyle w:val="BodyText"/>
        <w:numPr>
          <w:ilvl w:val="0"/>
          <w:numId w:val="12"/>
        </w:numPr>
        <w:spacing w:before="120" w:after="240" w:line="240" w:lineRule="auto"/>
        <w:ind w:left="993" w:hanging="357"/>
      </w:pPr>
      <w:r>
        <w:t xml:space="preserve">debt management </w:t>
      </w:r>
      <w:r w:rsidR="00761A9C">
        <w:rPr>
          <w:color w:val="auto"/>
        </w:rPr>
        <w:t xml:space="preserve">policies and </w:t>
      </w:r>
      <w:r w:rsidR="00D83255" w:rsidRPr="00574B74">
        <w:rPr>
          <w:color w:val="auto"/>
        </w:rPr>
        <w:t xml:space="preserve">procedures </w:t>
      </w:r>
      <w:r>
        <w:t>that covers end-to-end debt management from debt creation to collection or write-off in accordance with the losses and special payment procedures;</w:t>
      </w:r>
    </w:p>
    <w:p w14:paraId="5D3749C3" w14:textId="7386391C" w:rsidR="00460D5A" w:rsidRDefault="00460D5A" w:rsidP="008E4666">
      <w:pPr>
        <w:pStyle w:val="BodyText"/>
        <w:numPr>
          <w:ilvl w:val="0"/>
          <w:numId w:val="12"/>
        </w:numPr>
        <w:spacing w:before="120" w:after="240" w:line="240" w:lineRule="auto"/>
        <w:ind w:left="993" w:hanging="357"/>
      </w:pPr>
      <w:r>
        <w:t xml:space="preserve">ensuring the </w:t>
      </w:r>
      <w:r w:rsidR="00D83255">
        <w:t xml:space="preserve">debt management </w:t>
      </w:r>
      <w:r w:rsidR="00761A9C" w:rsidRPr="00574B74">
        <w:rPr>
          <w:color w:val="auto"/>
        </w:rPr>
        <w:t xml:space="preserve">policies and </w:t>
      </w:r>
      <w:r w:rsidR="00D83255" w:rsidRPr="00574B74">
        <w:rPr>
          <w:color w:val="auto"/>
        </w:rPr>
        <w:t xml:space="preserve">procedures </w:t>
      </w:r>
      <w:r>
        <w:t>covers a minimum period of 3 years and must be reviewed 12 months to ensure relevance and provide assurance;</w:t>
      </w:r>
    </w:p>
    <w:p w14:paraId="2D15AA6A" w14:textId="2ED5878A" w:rsidR="00460D5A" w:rsidRDefault="00460D5A" w:rsidP="008E4666">
      <w:pPr>
        <w:pStyle w:val="BodyText"/>
        <w:numPr>
          <w:ilvl w:val="0"/>
          <w:numId w:val="12"/>
        </w:numPr>
        <w:spacing w:before="120" w:after="240" w:line="240" w:lineRule="auto"/>
        <w:ind w:left="993" w:hanging="357"/>
      </w:pPr>
      <w:r>
        <w:t xml:space="preserve">accountability to the </w:t>
      </w:r>
      <w:r w:rsidR="0032611D">
        <w:t>Board</w:t>
      </w:r>
      <w:r>
        <w:t xml:space="preserve"> that debt is being managed effectively;</w:t>
      </w:r>
    </w:p>
    <w:p w14:paraId="33375F8D" w14:textId="77777777" w:rsidR="00460D5A" w:rsidRDefault="00460D5A" w:rsidP="008E4666">
      <w:pPr>
        <w:pStyle w:val="BodyText"/>
        <w:numPr>
          <w:ilvl w:val="0"/>
          <w:numId w:val="12"/>
        </w:numPr>
        <w:spacing w:before="120" w:after="240" w:line="240" w:lineRule="auto"/>
        <w:ind w:left="993" w:hanging="357"/>
      </w:pPr>
      <w:r w:rsidRPr="00267006">
        <w:t>accountabilities and responsibilities are defined</w:t>
      </w:r>
      <w:r>
        <w:t xml:space="preserve"> with regards to debt management to budget holders; and </w:t>
      </w:r>
    </w:p>
    <w:p w14:paraId="6E598328" w14:textId="73E906D1" w:rsidR="00460D5A" w:rsidRDefault="00460D5A" w:rsidP="00D81710">
      <w:pPr>
        <w:pStyle w:val="BodyText"/>
        <w:numPr>
          <w:ilvl w:val="0"/>
          <w:numId w:val="12"/>
        </w:numPr>
        <w:spacing w:before="120" w:after="240" w:line="240" w:lineRule="auto"/>
        <w:ind w:left="993" w:hanging="357"/>
      </w:pPr>
      <w:r w:rsidRPr="009B13DB">
        <w:rPr>
          <w:color w:val="auto"/>
        </w:rPr>
        <w:t xml:space="preserve">responsibility to appoint a senior officer responsible for </w:t>
      </w:r>
      <w:r w:rsidR="00A34BC6">
        <w:t>day-to-day</w:t>
      </w:r>
      <w:r>
        <w:t xml:space="preserve"> management of debt.</w:t>
      </w:r>
    </w:p>
    <w:p w14:paraId="1FE7A4FF" w14:textId="1ACEBCBE" w:rsidR="009B13DB" w:rsidRPr="009B13DB" w:rsidRDefault="009B13DB" w:rsidP="009B13DB">
      <w:pPr>
        <w:pStyle w:val="BodyText"/>
        <w:numPr>
          <w:ilvl w:val="0"/>
          <w:numId w:val="12"/>
        </w:numPr>
        <w:spacing w:before="120" w:after="240" w:line="240" w:lineRule="auto"/>
        <w:ind w:left="993" w:hanging="357"/>
        <w:rPr>
          <w:color w:val="auto"/>
        </w:rPr>
      </w:pPr>
      <w:r w:rsidRPr="009B13DB">
        <w:rPr>
          <w:color w:val="auto"/>
        </w:rPr>
        <w:t>The Chief Finance Officer is responsible for the appropriate recovery action on all outstanding debts.</w:t>
      </w:r>
    </w:p>
    <w:p w14:paraId="7C14241B" w14:textId="77777777" w:rsidR="009B13DB" w:rsidRPr="009B13DB" w:rsidRDefault="009B13DB" w:rsidP="009B13DB">
      <w:pPr>
        <w:pStyle w:val="BodyText"/>
        <w:numPr>
          <w:ilvl w:val="0"/>
          <w:numId w:val="12"/>
        </w:numPr>
        <w:spacing w:before="120" w:after="240" w:line="240" w:lineRule="auto"/>
        <w:ind w:left="993" w:hanging="357"/>
        <w:rPr>
          <w:color w:val="auto"/>
        </w:rPr>
      </w:pPr>
      <w:r w:rsidRPr="009B13DB">
        <w:rPr>
          <w:color w:val="auto"/>
        </w:rPr>
        <w:t>Income not received should be dealt with in accordance with losses procedures.</w:t>
      </w:r>
    </w:p>
    <w:p w14:paraId="1AB92F76" w14:textId="77777777" w:rsidR="009B13DB" w:rsidRPr="009B13DB" w:rsidRDefault="009B13DB" w:rsidP="009B13DB">
      <w:pPr>
        <w:pStyle w:val="BodyText"/>
        <w:numPr>
          <w:ilvl w:val="0"/>
          <w:numId w:val="12"/>
        </w:numPr>
        <w:spacing w:before="120" w:after="240" w:line="240" w:lineRule="auto"/>
        <w:ind w:left="993" w:hanging="357"/>
        <w:rPr>
          <w:color w:val="auto"/>
        </w:rPr>
      </w:pPr>
      <w:r w:rsidRPr="009B13DB">
        <w:rPr>
          <w:color w:val="auto"/>
        </w:rPr>
        <w:t>Overpayments should be detected (or preferably prevented) and recovery initiated.</w:t>
      </w:r>
    </w:p>
    <w:p w14:paraId="7AF9762A" w14:textId="7345F803" w:rsidR="00460D5A" w:rsidRPr="009B13DB" w:rsidRDefault="00460D5A" w:rsidP="00171ABE">
      <w:pPr>
        <w:pStyle w:val="Heading2Numbered"/>
        <w:spacing w:before="360" w:after="240"/>
        <w:ind w:left="0"/>
        <w:rPr>
          <w:color w:val="002060"/>
        </w:rPr>
      </w:pPr>
      <w:bookmarkStart w:id="26" w:name="_Toc230249770"/>
      <w:r w:rsidRPr="009B13DB">
        <w:rPr>
          <w:color w:val="002060"/>
        </w:rPr>
        <w:t>Security of cash</w:t>
      </w:r>
      <w:bookmarkEnd w:id="26"/>
    </w:p>
    <w:p w14:paraId="46F4FF06" w14:textId="1B491209" w:rsidR="008E4666" w:rsidRPr="00460D5A" w:rsidRDefault="008E4666" w:rsidP="0070678C">
      <w:pPr>
        <w:pStyle w:val="Heading3Numbered"/>
      </w:pPr>
      <w:r>
        <w:t xml:space="preserve">The </w:t>
      </w:r>
      <w:r w:rsidR="00220CAE">
        <w:t>C</w:t>
      </w:r>
      <w:r>
        <w:t xml:space="preserve">hief </w:t>
      </w:r>
      <w:r w:rsidR="00220CAE">
        <w:t>F</w:t>
      </w:r>
      <w:r>
        <w:t>inanc</w:t>
      </w:r>
      <w:r w:rsidR="00220CAE">
        <w:t>e</w:t>
      </w:r>
      <w:r>
        <w:t xml:space="preserve"> </w:t>
      </w:r>
      <w:r w:rsidR="00220CAE">
        <w:t>O</w:t>
      </w:r>
      <w:r>
        <w:t>fficer is responsible for:</w:t>
      </w:r>
    </w:p>
    <w:p w14:paraId="267DABEF" w14:textId="4CD8ACB4" w:rsidR="00A34BC6" w:rsidRDefault="00A34BC6" w:rsidP="0074740C">
      <w:pPr>
        <w:pStyle w:val="BodyText"/>
        <w:numPr>
          <w:ilvl w:val="0"/>
          <w:numId w:val="31"/>
        </w:numPr>
        <w:spacing w:before="120" w:after="240" w:line="240" w:lineRule="auto"/>
        <w:ind w:left="993"/>
      </w:pPr>
      <w:r>
        <w:t>approving the means of officially acknowledging or recording monies received or receivable;</w:t>
      </w:r>
    </w:p>
    <w:p w14:paraId="486222CB" w14:textId="77777777" w:rsidR="00A34BC6" w:rsidRDefault="00A34BC6" w:rsidP="0074740C">
      <w:pPr>
        <w:pStyle w:val="BodyText"/>
        <w:numPr>
          <w:ilvl w:val="0"/>
          <w:numId w:val="31"/>
        </w:numPr>
        <w:spacing w:before="120" w:after="240" w:line="240" w:lineRule="auto"/>
        <w:ind w:left="993"/>
      </w:pPr>
      <w:r>
        <w:t xml:space="preserve">the provision of adequate facilities and systems for employees whose duties include collecting and holding cash, including the provision of safes or lockable cash boxes, the procedures for keys, and for coin operated machines; </w:t>
      </w:r>
    </w:p>
    <w:p w14:paraId="77DDA8E0" w14:textId="77777777" w:rsidR="00A34BC6" w:rsidRDefault="00A34BC6" w:rsidP="0074740C">
      <w:pPr>
        <w:pStyle w:val="BodyText"/>
        <w:numPr>
          <w:ilvl w:val="0"/>
          <w:numId w:val="31"/>
        </w:numPr>
        <w:spacing w:before="120" w:after="240" w:line="240" w:lineRule="auto"/>
        <w:ind w:left="993"/>
      </w:pPr>
      <w:r>
        <w:t>prescribing systems and procedures for handling cash and negotiable securities on behalf of the ICB.</w:t>
      </w:r>
    </w:p>
    <w:p w14:paraId="782EBD90" w14:textId="367E06C6" w:rsidR="008E4666" w:rsidRDefault="008E4666" w:rsidP="0070678C">
      <w:pPr>
        <w:pStyle w:val="Heading3Numbered"/>
      </w:pPr>
      <w:r>
        <w:lastRenderedPageBreak/>
        <w:t xml:space="preserve"> </w:t>
      </w:r>
      <w:r w:rsidRPr="008E4666">
        <w:t>Official money shall not under any circumstances be used for the encashment of private cheques or IOUs.</w:t>
      </w:r>
    </w:p>
    <w:p w14:paraId="2BF131C7" w14:textId="6E8350F7" w:rsidR="008E4666" w:rsidRDefault="00D83255" w:rsidP="0070678C">
      <w:pPr>
        <w:pStyle w:val="Heading3Numbered"/>
      </w:pPr>
      <w:r w:rsidRPr="00574B74">
        <w:rPr>
          <w:color w:val="auto"/>
        </w:rPr>
        <w:t xml:space="preserve">Any </w:t>
      </w:r>
      <w:r w:rsidR="008E4666" w:rsidRPr="008E4666">
        <w:t>cheques, postal orders, cash etc., shall be banked intact.  Disbursements shall not be made from cash received</w:t>
      </w:r>
      <w:r w:rsidR="00FC02FE">
        <w:t>.</w:t>
      </w:r>
    </w:p>
    <w:p w14:paraId="02C62AF5" w14:textId="3649447B" w:rsidR="008E4666" w:rsidRDefault="008E4666" w:rsidP="0070678C">
      <w:pPr>
        <w:pStyle w:val="Heading3Numbered"/>
      </w:pPr>
      <w:r w:rsidRPr="008E4666">
        <w:t xml:space="preserve">The holders of safe keys shall not accept unofficial funds for depositing in their safes unless such deposits are in special sealed envelopes or locked containers.  It shall be made clear to the depositors that the </w:t>
      </w:r>
      <w:r w:rsidR="008118B8">
        <w:t>ICB</w:t>
      </w:r>
      <w:r w:rsidRPr="008E4666">
        <w:t xml:space="preserve"> is not to be held liable for any loss, and written indemnities must be obtained from the organisation or individuals absolving the </w:t>
      </w:r>
      <w:r w:rsidR="008118B8">
        <w:t>ICB</w:t>
      </w:r>
      <w:r w:rsidRPr="008E4666">
        <w:t xml:space="preserve"> from responsibility for any loss.</w:t>
      </w:r>
    </w:p>
    <w:p w14:paraId="37E25E47" w14:textId="77777777" w:rsidR="008E4666" w:rsidRDefault="008E4666" w:rsidP="003F55ED">
      <w:pPr>
        <w:pStyle w:val="BodyText"/>
        <w:sectPr w:rsidR="008E4666" w:rsidSect="00767381">
          <w:pgSz w:w="11906" w:h="16838" w:code="9"/>
          <w:pgMar w:top="1418" w:right="1928" w:bottom="1247" w:left="1077" w:header="624" w:footer="510" w:gutter="0"/>
          <w:cols w:space="708"/>
          <w:docGrid w:linePitch="360"/>
        </w:sectPr>
      </w:pPr>
    </w:p>
    <w:p w14:paraId="444F7E51" w14:textId="6D4DC2D4" w:rsidR="00D3000F" w:rsidRPr="009B13DB" w:rsidRDefault="00D3000F" w:rsidP="004C1E2A">
      <w:pPr>
        <w:pStyle w:val="Heading1Numbered"/>
        <w:ind w:left="0"/>
        <w:rPr>
          <w:color w:val="002060"/>
          <w:sz w:val="56"/>
          <w:szCs w:val="28"/>
        </w:rPr>
      </w:pPr>
      <w:bookmarkStart w:id="27" w:name="_Toc230249771"/>
      <w:r w:rsidRPr="009B13DB">
        <w:rPr>
          <w:color w:val="002060"/>
          <w:sz w:val="56"/>
          <w:szCs w:val="28"/>
        </w:rPr>
        <w:lastRenderedPageBreak/>
        <w:t>Procurement and</w:t>
      </w:r>
      <w:r w:rsidR="00A17827" w:rsidRPr="009B13DB">
        <w:rPr>
          <w:color w:val="002060"/>
          <w:sz w:val="56"/>
          <w:szCs w:val="28"/>
        </w:rPr>
        <w:t xml:space="preserve"> </w:t>
      </w:r>
      <w:r w:rsidRPr="009B13DB">
        <w:rPr>
          <w:color w:val="002060"/>
          <w:sz w:val="56"/>
          <w:szCs w:val="28"/>
        </w:rPr>
        <w:t>purchasing</w:t>
      </w:r>
      <w:bookmarkEnd w:id="27"/>
    </w:p>
    <w:p w14:paraId="110F82D3" w14:textId="606E023F" w:rsidR="00EA0A26" w:rsidRPr="009B13DB" w:rsidRDefault="00EA0A26" w:rsidP="00171ABE">
      <w:pPr>
        <w:pStyle w:val="Heading2Numbered"/>
        <w:ind w:left="0"/>
        <w:rPr>
          <w:color w:val="002060"/>
        </w:rPr>
      </w:pPr>
      <w:bookmarkStart w:id="28" w:name="_Toc230249772"/>
      <w:r w:rsidRPr="009B13DB">
        <w:rPr>
          <w:color w:val="002060"/>
        </w:rPr>
        <w:t>Principles</w:t>
      </w:r>
      <w:bookmarkEnd w:id="28"/>
      <w:r w:rsidRPr="009B13DB">
        <w:rPr>
          <w:color w:val="002060"/>
        </w:rPr>
        <w:t xml:space="preserve"> </w:t>
      </w:r>
    </w:p>
    <w:p w14:paraId="61B2E4B9" w14:textId="7849A37F" w:rsidR="003F55ED" w:rsidRDefault="00EA0A26" w:rsidP="00BB6325">
      <w:pPr>
        <w:pStyle w:val="Heading3Numbered"/>
      </w:pPr>
      <w:r>
        <w:t xml:space="preserve">The </w:t>
      </w:r>
      <w:r w:rsidR="0016726D">
        <w:t xml:space="preserve">Chief Strategic Commissioning Office with support as relevant from the </w:t>
      </w:r>
      <w:r w:rsidR="00220CAE">
        <w:t>C</w:t>
      </w:r>
      <w:r>
        <w:t xml:space="preserve">hief </w:t>
      </w:r>
      <w:r w:rsidR="00220CAE">
        <w:t>F</w:t>
      </w:r>
      <w:r>
        <w:t>inanc</w:t>
      </w:r>
      <w:r w:rsidR="00220CAE">
        <w:t>e</w:t>
      </w:r>
      <w:r>
        <w:t xml:space="preserve"> </w:t>
      </w:r>
      <w:r w:rsidR="00220CAE">
        <w:t>O</w:t>
      </w:r>
      <w:r>
        <w:t xml:space="preserve">fficer </w:t>
      </w:r>
      <w:r w:rsidR="003773DC" w:rsidRPr="003773DC">
        <w:t xml:space="preserve">will take a lead role on behalf of the ICB to ensure that there are appropriate and effective </w:t>
      </w:r>
      <w:r w:rsidR="001D7537" w:rsidRPr="003773DC">
        <w:t>financial</w:t>
      </w:r>
      <w:r w:rsidR="001D7537">
        <w:t xml:space="preserve">, </w:t>
      </w:r>
      <w:r w:rsidR="001D7537" w:rsidRPr="003773DC">
        <w:t>contracting</w:t>
      </w:r>
      <w:r w:rsidR="002F4D6E">
        <w:t>,</w:t>
      </w:r>
      <w:r w:rsidR="003773DC" w:rsidRPr="003773DC">
        <w:t xml:space="preserve"> monitoring and performance arrangements in place to ensure the delivery of effective health services</w:t>
      </w:r>
      <w:r w:rsidR="00143A46">
        <w:t xml:space="preserve"> and will ensure that </w:t>
      </w:r>
      <w:r w:rsidR="00441506">
        <w:t>appropriate procurement policies and arrangements are in place</w:t>
      </w:r>
      <w:r w:rsidR="00A17827">
        <w:t>.</w:t>
      </w:r>
    </w:p>
    <w:p w14:paraId="235CAE2F" w14:textId="46DCA6AF" w:rsidR="003A577B" w:rsidRDefault="008B420B" w:rsidP="0070678C">
      <w:pPr>
        <w:pStyle w:val="Heading3Numbered"/>
      </w:pPr>
      <w:r w:rsidRPr="00574B74">
        <w:t>T</w:t>
      </w:r>
      <w:r w:rsidR="00A17827" w:rsidRPr="00574B74">
        <w:t>he ICB must</w:t>
      </w:r>
      <w:r w:rsidR="00EA0A26" w:rsidRPr="00574B74">
        <w:t xml:space="preserve"> ensure </w:t>
      </w:r>
      <w:r w:rsidR="00A17827" w:rsidRPr="00574B74">
        <w:t>that procurement activity is in accordance with</w:t>
      </w:r>
      <w:r w:rsidR="00D62C5D" w:rsidRPr="00574B74">
        <w:t xml:space="preserve"> </w:t>
      </w:r>
      <w:r w:rsidR="007B572F" w:rsidRPr="00574B74">
        <w:t xml:space="preserve">the legislation and regulation as described in the </w:t>
      </w:r>
      <w:r w:rsidR="0057765B" w:rsidRPr="00574B74">
        <w:t xml:space="preserve">ICB’s </w:t>
      </w:r>
      <w:r w:rsidR="007B572F" w:rsidRPr="00574B74">
        <w:t xml:space="preserve">procurement policies for healthcare and goods </w:t>
      </w:r>
      <w:r w:rsidR="0057765B" w:rsidRPr="00574B74">
        <w:t xml:space="preserve">and </w:t>
      </w:r>
      <w:r w:rsidR="007B572F" w:rsidRPr="00574B74">
        <w:t xml:space="preserve">services </w:t>
      </w:r>
      <w:r w:rsidR="00574B74" w:rsidRPr="00574B74">
        <w:t>a</w:t>
      </w:r>
      <w:r w:rsidR="00EA0A26" w:rsidRPr="00574B74">
        <w:t>nd</w:t>
      </w:r>
      <w:r w:rsidR="00EA0A26">
        <w:t xml:space="preserve"> associated statut</w:t>
      </w:r>
      <w:r w:rsidR="005D4293">
        <w:t>ory</w:t>
      </w:r>
      <w:r w:rsidR="00EA0A26">
        <w:t xml:space="preserve"> requirements whilst securing value for money and sus</w:t>
      </w:r>
      <w:r w:rsidR="00EA0A26" w:rsidRPr="00574B74">
        <w:t>tainability.</w:t>
      </w:r>
      <w:r w:rsidR="0057765B" w:rsidRPr="00574B74">
        <w:t xml:space="preserve">  The </w:t>
      </w:r>
      <w:r w:rsidR="00F66D66">
        <w:t>P</w:t>
      </w:r>
      <w:r w:rsidR="0057765B" w:rsidRPr="00574B74">
        <w:t>rocurement policy can be found on the ICB</w:t>
      </w:r>
      <w:r w:rsidR="00F66D66">
        <w:t>’s</w:t>
      </w:r>
      <w:r w:rsidR="0057765B" w:rsidRPr="00574B74">
        <w:t xml:space="preserve"> website and the </w:t>
      </w:r>
      <w:hyperlink r:id="rId20" w:history="1">
        <w:r w:rsidR="009B13DB">
          <w:rPr>
            <w:rStyle w:val="Hyperlink"/>
            <w:color w:val="auto"/>
          </w:rPr>
          <w:t>intranet</w:t>
        </w:r>
      </w:hyperlink>
      <w:r w:rsidR="0057765B" w:rsidRPr="00574B74">
        <w:t>.</w:t>
      </w:r>
    </w:p>
    <w:p w14:paraId="4375A57D" w14:textId="6032DF1F" w:rsidR="009B13DB" w:rsidRDefault="009B13DB" w:rsidP="0070678C">
      <w:pPr>
        <w:pStyle w:val="Heading3Numbered"/>
      </w:pPr>
      <w:r w:rsidRPr="00336F62">
        <w:t xml:space="preserve">The ICB shall undertake any contract variations or extensions in accordance </w:t>
      </w:r>
      <w:r w:rsidRPr="002A22B5">
        <w:t>with P</w:t>
      </w:r>
      <w:r>
        <w:t xml:space="preserve">ublic </w:t>
      </w:r>
      <w:r w:rsidRPr="002A22B5">
        <w:t>C</w:t>
      </w:r>
      <w:r>
        <w:t xml:space="preserve">ontracts </w:t>
      </w:r>
      <w:r w:rsidRPr="002A22B5">
        <w:t>R</w:t>
      </w:r>
      <w:r>
        <w:t>egulation</w:t>
      </w:r>
      <w:r w:rsidRPr="002A22B5">
        <w:t xml:space="preserve"> 2015</w:t>
      </w:r>
      <w:r w:rsidRPr="00336F62">
        <w:t xml:space="preserve"> </w:t>
      </w:r>
      <w:r w:rsidRPr="00FC02FE">
        <w:t xml:space="preserve">(goods and services) </w:t>
      </w:r>
      <w:r w:rsidR="00DF5F56" w:rsidRPr="00772E82">
        <w:t>which are amended by The Public Procurement (Amendment etc.) (EU Exit) Regulations 2020 (‘PPAR 2020’)</w:t>
      </w:r>
      <w:r w:rsidR="00DF5F56">
        <w:t>, the</w:t>
      </w:r>
      <w:r w:rsidR="00DF5F56" w:rsidRPr="00554B6F">
        <w:t xml:space="preserve"> Procurement Act 2023 and Procurement Regulations 2024 </w:t>
      </w:r>
      <w:r w:rsidRPr="00FC02FE">
        <w:t xml:space="preserve">and/or The Health Care Services (Provider Selection Regime) Regulations 2023 </w:t>
      </w:r>
      <w:r w:rsidRPr="00336F62">
        <w:t>and the ICB procurement policy</w:t>
      </w:r>
    </w:p>
    <w:p w14:paraId="7B091F8C" w14:textId="44887ECF" w:rsidR="00A17827" w:rsidRDefault="003B7577" w:rsidP="0070678C">
      <w:pPr>
        <w:pStyle w:val="Heading3Numbered"/>
      </w:pPr>
      <w:r>
        <w:t xml:space="preserve">The ICB must </w:t>
      </w:r>
      <w:r w:rsidR="00043EBA">
        <w:t>c</w:t>
      </w:r>
      <w:r w:rsidR="003A577B" w:rsidRPr="003A577B">
        <w:t>onsider</w:t>
      </w:r>
      <w:r w:rsidR="002F4D6E">
        <w:t>,</w:t>
      </w:r>
      <w:r w:rsidR="003A577B" w:rsidRPr="003A577B">
        <w:t xml:space="preserve"> as appropriate</w:t>
      </w:r>
      <w:r w:rsidR="002F4D6E">
        <w:t>,</w:t>
      </w:r>
      <w:r w:rsidR="003A577B" w:rsidRPr="003A577B">
        <w:t xml:space="preserve"> any applicable NHS </w:t>
      </w:r>
      <w:r w:rsidR="002F4D6E">
        <w:t xml:space="preserve">England </w:t>
      </w:r>
      <w:r w:rsidR="002F4D6E" w:rsidRPr="003A577B">
        <w:t>guidance</w:t>
      </w:r>
      <w:r w:rsidR="003A577B" w:rsidRPr="003A577B">
        <w:t xml:space="preserve"> that does not conflict with</w:t>
      </w:r>
      <w:r w:rsidR="00684BA3">
        <w:t xml:space="preserve"> the</w:t>
      </w:r>
      <w:r w:rsidR="003A577B" w:rsidRPr="003A577B">
        <w:t xml:space="preserve"> above</w:t>
      </w:r>
      <w:r w:rsidR="002F4D6E">
        <w:t>.</w:t>
      </w:r>
    </w:p>
    <w:p w14:paraId="55E0BFD8" w14:textId="3572AB0A" w:rsidR="002C1BF8" w:rsidRPr="00912F68" w:rsidRDefault="002F4D6E" w:rsidP="0070678C">
      <w:pPr>
        <w:pStyle w:val="Heading3Numbered"/>
      </w:pPr>
      <w:r>
        <w:t>All revenue and non-pay expenditure</w:t>
      </w:r>
      <w:r w:rsidR="00EA0A26">
        <w:t xml:space="preserve"> must be approved, in accordance with the</w:t>
      </w:r>
      <w:r w:rsidR="002C1BF8">
        <w:t xml:space="preserve"> ICB</w:t>
      </w:r>
      <w:r w:rsidR="00EA0A26">
        <w:t xml:space="preserve"> </w:t>
      </w:r>
      <w:r w:rsidR="001D7537">
        <w:t>b</w:t>
      </w:r>
      <w:r w:rsidR="00EA0A26">
        <w:t xml:space="preserve">usiness </w:t>
      </w:r>
      <w:r w:rsidR="001D7537">
        <w:t>c</w:t>
      </w:r>
      <w:r w:rsidR="00EA0A26">
        <w:t xml:space="preserve">ase </w:t>
      </w:r>
      <w:r w:rsidR="001D7537">
        <w:t>p</w:t>
      </w:r>
      <w:r w:rsidR="00EA0A26">
        <w:t xml:space="preserve">olicy, prior to an agreement being made with a third party that </w:t>
      </w:r>
      <w:r w:rsidR="002C1BF8">
        <w:t>enters</w:t>
      </w:r>
      <w:r w:rsidR="00EA0A26">
        <w:t xml:space="preserve"> a </w:t>
      </w:r>
      <w:r w:rsidR="00EA0A26" w:rsidRPr="00912F68">
        <w:t xml:space="preserve">commitment to future expenditure. </w:t>
      </w:r>
    </w:p>
    <w:p w14:paraId="696DE330" w14:textId="69AB79E7" w:rsidR="00EA0A26" w:rsidRPr="00912F68" w:rsidRDefault="00EA0A26" w:rsidP="0070678C">
      <w:pPr>
        <w:pStyle w:val="Heading3Numbered"/>
      </w:pPr>
      <w:r w:rsidRPr="00912F68">
        <w:t xml:space="preserve">All officers must ensure that any conflicts of interest are identified, declared and appropriately mitigated or resolved in accordance with the </w:t>
      </w:r>
      <w:r w:rsidR="002F4D6E" w:rsidRPr="00912F68">
        <w:t xml:space="preserve">ICB </w:t>
      </w:r>
      <w:r w:rsidR="001D7537" w:rsidRPr="00912F68">
        <w:t>s</w:t>
      </w:r>
      <w:r w:rsidRPr="00912F68">
        <w:t xml:space="preserve">tandards of </w:t>
      </w:r>
      <w:r w:rsidR="001D7537" w:rsidRPr="00912F68">
        <w:t>b</w:t>
      </w:r>
      <w:r w:rsidRPr="00912F68">
        <w:t xml:space="preserve">usiness </w:t>
      </w:r>
      <w:r w:rsidR="001D7537" w:rsidRPr="00912F68">
        <w:t>c</w:t>
      </w:r>
      <w:r w:rsidRPr="00912F68">
        <w:t xml:space="preserve">onduct </w:t>
      </w:r>
      <w:r w:rsidR="001D7537" w:rsidRPr="00912F68">
        <w:t>p</w:t>
      </w:r>
      <w:r w:rsidRPr="00912F68">
        <w:t>olicy.</w:t>
      </w:r>
    </w:p>
    <w:p w14:paraId="61551D53" w14:textId="794E93F9" w:rsidR="00A17827" w:rsidRPr="00336F62" w:rsidRDefault="002C1BF8" w:rsidP="0070678C">
      <w:pPr>
        <w:pStyle w:val="Heading3Numbered"/>
        <w:rPr>
          <w:color w:val="000000"/>
        </w:rPr>
      </w:pPr>
      <w:r w:rsidRPr="00912F68">
        <w:t xml:space="preserve">Budget holders are accountable for obtaining the necessary approvals and oversight </w:t>
      </w:r>
      <w:r w:rsidRPr="00574B74">
        <w:rPr>
          <w:color w:val="auto"/>
        </w:rPr>
        <w:t xml:space="preserve">of all expenditure incurred on the cost centres </w:t>
      </w:r>
      <w:r w:rsidR="00220CAE" w:rsidRPr="00574B74">
        <w:rPr>
          <w:color w:val="auto"/>
        </w:rPr>
        <w:t xml:space="preserve">and subjective code combinations </w:t>
      </w:r>
      <w:r w:rsidRPr="00574B74">
        <w:rPr>
          <w:color w:val="auto"/>
        </w:rPr>
        <w:t xml:space="preserve">they </w:t>
      </w:r>
      <w:r w:rsidRPr="00912F68">
        <w:t>are responsible for. This includes o</w:t>
      </w:r>
      <w:r w:rsidR="00A17827" w:rsidRPr="00912F68">
        <w:rPr>
          <w:color w:val="000000"/>
        </w:rPr>
        <w:t>btain</w:t>
      </w:r>
      <w:r w:rsidRPr="00912F68">
        <w:rPr>
          <w:color w:val="000000"/>
        </w:rPr>
        <w:t>ing</w:t>
      </w:r>
      <w:r w:rsidR="00A17827" w:rsidRPr="00912F68">
        <w:rPr>
          <w:color w:val="000000"/>
        </w:rPr>
        <w:t xml:space="preserve"> the necessary internal and external </w:t>
      </w:r>
      <w:r w:rsidRPr="00912F68">
        <w:rPr>
          <w:color w:val="000000"/>
        </w:rPr>
        <w:t>approvals which</w:t>
      </w:r>
      <w:r w:rsidR="00A17827" w:rsidRPr="00912F68">
        <w:rPr>
          <w:color w:val="000000"/>
        </w:rPr>
        <w:t xml:space="preserve"> vary </w:t>
      </w:r>
      <w:r w:rsidR="00A17827" w:rsidRPr="00336F62">
        <w:rPr>
          <w:color w:val="000000"/>
        </w:rPr>
        <w:t>based on the type of spend, prior to procuring the goods, services or works</w:t>
      </w:r>
      <w:r w:rsidR="00AD5CEE" w:rsidRPr="00336F62">
        <w:rPr>
          <w:color w:val="000000"/>
        </w:rPr>
        <w:t>.</w:t>
      </w:r>
    </w:p>
    <w:p w14:paraId="1624125B" w14:textId="3D96D5C7" w:rsidR="00697B87" w:rsidRPr="00FC02FE" w:rsidRDefault="00DC4866" w:rsidP="0070678C">
      <w:pPr>
        <w:pStyle w:val="Heading3Numbered"/>
      </w:pPr>
      <w:r>
        <w:t>T</w:t>
      </w:r>
      <w:r w:rsidR="00697B87" w:rsidRPr="00FC02FE">
        <w:t>he award of grant agreements must be in accordance with NHS England guidance and model agreement as referenced in section 13.4.</w:t>
      </w:r>
    </w:p>
    <w:p w14:paraId="1506E02C" w14:textId="45E7BA58" w:rsidR="00912F68" w:rsidRPr="00336F62" w:rsidRDefault="00A17827" w:rsidP="0070678C">
      <w:pPr>
        <w:pStyle w:val="Heading3Numbered"/>
      </w:pPr>
      <w:r w:rsidRPr="00336F62">
        <w:lastRenderedPageBreak/>
        <w:t xml:space="preserve">Retrospective </w:t>
      </w:r>
      <w:r w:rsidR="003A577B" w:rsidRPr="00336F62">
        <w:t xml:space="preserve">expenditure approval should not be </w:t>
      </w:r>
      <w:r w:rsidR="00801E25" w:rsidRPr="00336F62">
        <w:t xml:space="preserve">permitted. </w:t>
      </w:r>
      <w:r w:rsidRPr="00336F62">
        <w:t xml:space="preserve"> Any </w:t>
      </w:r>
      <w:r w:rsidR="0036091A" w:rsidRPr="00336F62">
        <w:t>such retrospective breaches</w:t>
      </w:r>
      <w:r w:rsidR="003A577B" w:rsidRPr="00336F62">
        <w:t xml:space="preserve"> </w:t>
      </w:r>
      <w:r w:rsidRPr="00336F62">
        <w:t xml:space="preserve">require approval </w:t>
      </w:r>
      <w:r w:rsidR="00777419" w:rsidRPr="00336F62">
        <w:t>from any</w:t>
      </w:r>
      <w:r w:rsidR="00B4277E" w:rsidRPr="00336F62">
        <w:t xml:space="preserve"> </w:t>
      </w:r>
      <w:r w:rsidR="006E6934" w:rsidRPr="00336F62">
        <w:t>committee</w:t>
      </w:r>
      <w:r w:rsidR="00B4277E" w:rsidRPr="00336F62">
        <w:t xml:space="preserve"> responsible for approvals </w:t>
      </w:r>
      <w:r w:rsidRPr="00336F62">
        <w:t xml:space="preserve">before the liability </w:t>
      </w:r>
      <w:r w:rsidR="00AD5CEE" w:rsidRPr="00336F62">
        <w:t>is</w:t>
      </w:r>
      <w:r w:rsidRPr="00336F62">
        <w:t xml:space="preserve"> </w:t>
      </w:r>
      <w:r w:rsidR="00AD5CEE" w:rsidRPr="00336F62">
        <w:t>settled</w:t>
      </w:r>
      <w:r w:rsidRPr="00336F62">
        <w:t xml:space="preserve">. Such breaches </w:t>
      </w:r>
      <w:r w:rsidR="003A577B" w:rsidRPr="00336F62">
        <w:t>must be reported</w:t>
      </w:r>
      <w:r w:rsidRPr="00336F62">
        <w:t xml:space="preserve"> to the </w:t>
      </w:r>
      <w:r w:rsidR="00AB43D1">
        <w:t>Audit Committee</w:t>
      </w:r>
      <w:r w:rsidR="00A02598" w:rsidRPr="00336F62">
        <w:t>.</w:t>
      </w:r>
    </w:p>
    <w:p w14:paraId="075ABD58" w14:textId="708DE7AD" w:rsidR="00912F68" w:rsidRDefault="00E53335" w:rsidP="0070678C">
      <w:pPr>
        <w:pStyle w:val="Heading3Numbered"/>
      </w:pPr>
      <w:r w:rsidRPr="005243D3">
        <w:t>The ICB will consider obtaining expert support as appropriate to ensure compliance when engaging in tendering procedures</w:t>
      </w:r>
      <w:r w:rsidR="00697B87">
        <w:t>.</w:t>
      </w:r>
    </w:p>
    <w:p w14:paraId="75E13EF3" w14:textId="1E2DE947" w:rsidR="00E53335" w:rsidRPr="009B13DB" w:rsidRDefault="00E53335" w:rsidP="00171ABE">
      <w:pPr>
        <w:pStyle w:val="Heading2Numbered"/>
        <w:ind w:left="0"/>
        <w:rPr>
          <w:color w:val="002060"/>
        </w:rPr>
      </w:pPr>
      <w:bookmarkStart w:id="29" w:name="_Toc230249773"/>
      <w:r w:rsidRPr="009B13DB">
        <w:rPr>
          <w:color w:val="002060"/>
        </w:rPr>
        <w:t xml:space="preserve">Authorisation </w:t>
      </w:r>
      <w:r w:rsidR="00E521B9" w:rsidRPr="009B13DB">
        <w:rPr>
          <w:color w:val="002060"/>
        </w:rPr>
        <w:t>to procure</w:t>
      </w:r>
      <w:bookmarkEnd w:id="29"/>
      <w:r w:rsidR="00E521B9" w:rsidRPr="009B13DB">
        <w:rPr>
          <w:color w:val="002060"/>
        </w:rPr>
        <w:t xml:space="preserve"> </w:t>
      </w:r>
    </w:p>
    <w:p w14:paraId="6ACEFF30" w14:textId="6AEFC551" w:rsidR="003017EF" w:rsidRPr="00574B74" w:rsidRDefault="00E521B9" w:rsidP="0070678C">
      <w:pPr>
        <w:pStyle w:val="Heading3Numbered"/>
      </w:pPr>
      <w:r w:rsidRPr="00574B74">
        <w:t xml:space="preserve">Providing all the conditions and circumstances set out in these Standing Financial Instructions </w:t>
      </w:r>
      <w:r w:rsidR="00D0560D" w:rsidRPr="00574B74">
        <w:t xml:space="preserve">and the </w:t>
      </w:r>
      <w:r w:rsidR="00804146">
        <w:t>relevant</w:t>
      </w:r>
      <w:r w:rsidR="00C21E77">
        <w:t xml:space="preserve"> procurement policy</w:t>
      </w:r>
      <w:r w:rsidR="00517FAF">
        <w:t xml:space="preserve"> </w:t>
      </w:r>
      <w:r>
        <w:t>have been fully complied</w:t>
      </w:r>
      <w:r w:rsidR="00D0560D">
        <w:t xml:space="preserve"> </w:t>
      </w:r>
      <w:r>
        <w:t xml:space="preserve">with thresholds for the formal </w:t>
      </w:r>
      <w:r w:rsidRPr="00B52694">
        <w:rPr>
          <w:b/>
          <w:bCs/>
        </w:rPr>
        <w:t>authorisation to procure</w:t>
      </w:r>
      <w:r w:rsidRPr="003B0A2C">
        <w:t xml:space="preserve"> for </w:t>
      </w:r>
      <w:r>
        <w:t xml:space="preserve">tenders and competitive </w:t>
      </w:r>
      <w:r w:rsidRPr="00574B74">
        <w:t xml:space="preserve">quotations </w:t>
      </w:r>
      <w:r w:rsidR="0057765B" w:rsidRPr="00574B74">
        <w:t xml:space="preserve">or commission pilot schemes </w:t>
      </w:r>
      <w:r w:rsidR="002A22B5" w:rsidRPr="00574B74">
        <w:t>are</w:t>
      </w:r>
      <w:r w:rsidRPr="00574B74">
        <w:t xml:space="preserve"> based on the type of procurement</w:t>
      </w:r>
      <w:r w:rsidR="002A22B5" w:rsidRPr="00574B74">
        <w:t>:</w:t>
      </w:r>
    </w:p>
    <w:p w14:paraId="489710CE" w14:textId="2D982709" w:rsidR="003017EF" w:rsidRPr="00574B74" w:rsidRDefault="003017EF" w:rsidP="0074740C">
      <w:pPr>
        <w:pStyle w:val="ListBullet"/>
      </w:pPr>
      <w:r w:rsidRPr="00574B74">
        <w:t xml:space="preserve">Commissioning of </w:t>
      </w:r>
      <w:r w:rsidR="00E521B9" w:rsidRPr="00574B74">
        <w:t>Health Care Services (8.2.</w:t>
      </w:r>
      <w:r w:rsidR="00D0560D" w:rsidRPr="00574B74">
        <w:t>5</w:t>
      </w:r>
      <w:r w:rsidR="00E521B9" w:rsidRPr="00574B74">
        <w:t>)</w:t>
      </w:r>
    </w:p>
    <w:p w14:paraId="1F38688A" w14:textId="70F3459B" w:rsidR="003017EF" w:rsidRPr="00574B74" w:rsidRDefault="003017EF" w:rsidP="0074740C">
      <w:pPr>
        <w:pStyle w:val="ListBullet"/>
      </w:pPr>
      <w:r w:rsidRPr="00574B74">
        <w:t>Commissioning of package</w:t>
      </w:r>
      <w:r w:rsidR="00622F80" w:rsidRPr="00574B74">
        <w:t>s</w:t>
      </w:r>
      <w:r w:rsidRPr="00574B74">
        <w:t xml:space="preserve"> of care</w:t>
      </w:r>
      <w:r w:rsidR="002A22B5" w:rsidRPr="00574B74">
        <w:t xml:space="preserve"> (8.2.</w:t>
      </w:r>
      <w:r w:rsidR="00D0560D" w:rsidRPr="00574B74">
        <w:t>6</w:t>
      </w:r>
      <w:r w:rsidR="002A22B5" w:rsidRPr="00574B74">
        <w:t>)</w:t>
      </w:r>
    </w:p>
    <w:p w14:paraId="42071E33" w14:textId="7F2EA04F" w:rsidR="003017EF" w:rsidRPr="00574B74" w:rsidRDefault="00A34980" w:rsidP="0074740C">
      <w:pPr>
        <w:pStyle w:val="ListBullet"/>
      </w:pPr>
      <w:r w:rsidRPr="00574B74">
        <w:t>Non-health care procurements - r</w:t>
      </w:r>
      <w:r w:rsidR="00622F80" w:rsidRPr="00574B74">
        <w:t xml:space="preserve">unning </w:t>
      </w:r>
      <w:r w:rsidR="003017EF" w:rsidRPr="00574B74">
        <w:t>costs</w:t>
      </w:r>
      <w:r w:rsidR="002A22B5" w:rsidRPr="00574B74">
        <w:t xml:space="preserve"> (8.2.</w:t>
      </w:r>
      <w:r w:rsidR="00D0560D" w:rsidRPr="00574B74">
        <w:t>7</w:t>
      </w:r>
      <w:r w:rsidR="002A22B5" w:rsidRPr="00574B74">
        <w:t>)</w:t>
      </w:r>
    </w:p>
    <w:p w14:paraId="78C7EA6C" w14:textId="0A2233E5" w:rsidR="003017EF" w:rsidRPr="00574B74" w:rsidRDefault="00A34980" w:rsidP="0074740C">
      <w:pPr>
        <w:pStyle w:val="ListBullet"/>
      </w:pPr>
      <w:r w:rsidRPr="00574B74">
        <w:t>Non- health care procurements – excluding running costs</w:t>
      </w:r>
      <w:r w:rsidR="002A22B5" w:rsidRPr="00574B74">
        <w:t xml:space="preserve"> (8.2.</w:t>
      </w:r>
      <w:r w:rsidR="00D0560D" w:rsidRPr="00574B74">
        <w:t>8</w:t>
      </w:r>
      <w:r w:rsidR="002A22B5" w:rsidRPr="00574B74">
        <w:t>)</w:t>
      </w:r>
    </w:p>
    <w:p w14:paraId="78BAEC2A" w14:textId="0E3AB819" w:rsidR="00E76CEF" w:rsidRPr="00E76CEF" w:rsidRDefault="00E76CEF" w:rsidP="00E76CEF">
      <w:pPr>
        <w:pStyle w:val="Heading3Numbered"/>
      </w:pPr>
      <w:r w:rsidRPr="00E76CEF">
        <w:rPr>
          <w:rFonts w:ascii="Times New Roman" w:eastAsia="Times New Roman" w:hAnsi="Times New Roman" w:cs="Times New Roman"/>
          <w:color w:val="auto"/>
          <w:lang w:eastAsia="en-GB"/>
        </w:rPr>
        <w:t xml:space="preserve"> </w:t>
      </w:r>
      <w:r w:rsidRPr="00E76CEF">
        <w:t>Delegated limits for procurement and contract approval shall apply to both:</w:t>
      </w:r>
    </w:p>
    <w:p w14:paraId="3602F1E2" w14:textId="42B8BAEA" w:rsidR="00E76CEF" w:rsidRPr="00E76CEF" w:rsidRDefault="00E76CEF" w:rsidP="0074740C">
      <w:pPr>
        <w:pStyle w:val="ListBullet"/>
        <w:tabs>
          <w:tab w:val="clear" w:pos="567"/>
          <w:tab w:val="num" w:pos="993"/>
        </w:tabs>
        <w:ind w:left="993"/>
      </w:pPr>
      <w:r w:rsidRPr="00E76CEF">
        <w:t xml:space="preserve">the total contract lifecycle value </w:t>
      </w:r>
      <w:r>
        <w:t>(</w:t>
      </w:r>
      <w:r w:rsidRPr="00E76CEF">
        <w:t>excluding</w:t>
      </w:r>
      <w:r w:rsidR="004674E6">
        <w:t xml:space="preserve"> recoverable</w:t>
      </w:r>
      <w:r w:rsidRPr="00E76CEF">
        <w:t xml:space="preserve"> VAT</w:t>
      </w:r>
      <w:r>
        <w:t>)</w:t>
      </w:r>
      <w:r w:rsidRPr="00E76CEF">
        <w:t xml:space="preserve">; and </w:t>
      </w:r>
    </w:p>
    <w:p w14:paraId="2A0630DD" w14:textId="4AA374C2" w:rsidR="00E76CEF" w:rsidRPr="00E76CEF" w:rsidRDefault="00E76CEF" w:rsidP="0074740C">
      <w:pPr>
        <w:pStyle w:val="ListBullet"/>
        <w:tabs>
          <w:tab w:val="clear" w:pos="567"/>
          <w:tab w:val="num" w:pos="993"/>
        </w:tabs>
        <w:ind w:left="993"/>
      </w:pPr>
      <w:r w:rsidRPr="00E76CEF">
        <w:t>the maximum annual financial commitment in any single financial year</w:t>
      </w:r>
      <w:r>
        <w:t xml:space="preserve"> (excluding </w:t>
      </w:r>
      <w:r w:rsidR="004674E6">
        <w:t xml:space="preserve">recoverable </w:t>
      </w:r>
      <w:r>
        <w:t>VA</w:t>
      </w:r>
      <w:r w:rsidR="00B55C17">
        <w:t>T</w:t>
      </w:r>
      <w:r>
        <w:t>)</w:t>
      </w:r>
      <w:r w:rsidRPr="00E76CEF">
        <w:t xml:space="preserve">. </w:t>
      </w:r>
    </w:p>
    <w:p w14:paraId="4A8D45E2" w14:textId="77777777" w:rsidR="00E76CEF" w:rsidRPr="00E76CEF" w:rsidRDefault="00E76CEF" w:rsidP="0074740C">
      <w:pPr>
        <w:pStyle w:val="Heading3Numbered"/>
        <w:numPr>
          <w:ilvl w:val="0"/>
          <w:numId w:val="0"/>
        </w:numPr>
        <w:ind w:left="709"/>
      </w:pPr>
      <w:r w:rsidRPr="00E76CEF">
        <w:t>Where either threshold is exceeded, the higher approval level shall apply.</w:t>
      </w:r>
    </w:p>
    <w:p w14:paraId="3072C7FE" w14:textId="7BC9CE6E" w:rsidR="00E521B9" w:rsidRPr="00574B74" w:rsidRDefault="0057765B" w:rsidP="0070678C">
      <w:pPr>
        <w:pStyle w:val="Heading3Numbered"/>
      </w:pPr>
      <w:r w:rsidRPr="00574B74">
        <w:t>O</w:t>
      </w:r>
      <w:r w:rsidR="00E521B9" w:rsidRPr="00574B74">
        <w:t>fficers with delegated responsibility include their delegated deputies.</w:t>
      </w:r>
    </w:p>
    <w:p w14:paraId="6B9A56D6" w14:textId="131FBEAF" w:rsidR="00E521B9" w:rsidRPr="0074740C" w:rsidRDefault="00E521B9" w:rsidP="0070678C">
      <w:pPr>
        <w:pStyle w:val="Heading3Numbered"/>
        <w:numPr>
          <w:ilvl w:val="0"/>
          <w:numId w:val="0"/>
        </w:numPr>
        <w:ind w:left="142"/>
        <w:rPr>
          <w:b/>
          <w:bCs/>
        </w:rPr>
      </w:pPr>
      <w:r w:rsidRPr="0074740C">
        <w:rPr>
          <w:b/>
          <w:bCs/>
        </w:rPr>
        <w:t>Commissioning of Health Care Services</w:t>
      </w:r>
    </w:p>
    <w:p w14:paraId="6830B3B6" w14:textId="053D52A7" w:rsidR="00D0560D" w:rsidRPr="006A07B3" w:rsidRDefault="00622F80" w:rsidP="0070678C">
      <w:pPr>
        <w:pStyle w:val="Heading3Numbered"/>
      </w:pPr>
      <w:r w:rsidRPr="006A07B3">
        <w:t xml:space="preserve"> </w:t>
      </w:r>
      <w:r w:rsidR="00D0560D" w:rsidRPr="006A07B3">
        <w:t>To</w:t>
      </w:r>
      <w:r w:rsidR="00D0560D" w:rsidRPr="00574B74">
        <w:t xml:space="preserve"> be read in conjunction with section 8</w:t>
      </w:r>
      <w:r w:rsidR="00D0560D" w:rsidRPr="00FC02FE">
        <w:t>.</w:t>
      </w:r>
      <w:r w:rsidR="00697B87" w:rsidRPr="00FC02FE">
        <w:t>13</w:t>
      </w:r>
      <w:r w:rsidR="00D0560D" w:rsidRPr="00FC02FE">
        <w:t xml:space="preserve"> </w:t>
      </w:r>
      <w:r w:rsidR="00D0560D" w:rsidRPr="00574B74">
        <w:t>- Healthcare Service Agreements</w:t>
      </w:r>
      <w:r w:rsidR="0057765B" w:rsidRPr="00574B74">
        <w:t xml:space="preserve"> and the</w:t>
      </w:r>
      <w:r w:rsidR="00517FAF">
        <w:t xml:space="preserve"> procurement policies.</w:t>
      </w:r>
    </w:p>
    <w:p w14:paraId="05CFECF1" w14:textId="25D41CF4" w:rsidR="00622F80" w:rsidRDefault="00622F80" w:rsidP="0070678C">
      <w:pPr>
        <w:pStyle w:val="Heading3Numbered"/>
      </w:pPr>
      <w:r w:rsidRPr="00574B74">
        <w:t>The formal authorisation to procure is delegated as follows:</w:t>
      </w:r>
    </w:p>
    <w:tbl>
      <w:tblPr>
        <w:tblStyle w:val="TableGrid"/>
        <w:tblW w:w="8891" w:type="dxa"/>
        <w:tblInd w:w="416" w:type="dxa"/>
        <w:tblLook w:val="04A0" w:firstRow="1" w:lastRow="0" w:firstColumn="1" w:lastColumn="0" w:noHBand="0" w:noVBand="1"/>
      </w:tblPr>
      <w:tblGrid>
        <w:gridCol w:w="4824"/>
        <w:gridCol w:w="1843"/>
        <w:gridCol w:w="2224"/>
      </w:tblGrid>
      <w:tr w:rsidR="00E76CEF" w14:paraId="4D9AB952" w14:textId="77777777" w:rsidTr="0074740C">
        <w:tc>
          <w:tcPr>
            <w:tcW w:w="4824" w:type="dxa"/>
            <w:tcBorders>
              <w:bottom w:val="single" w:sz="4" w:space="0" w:color="auto"/>
            </w:tcBorders>
          </w:tcPr>
          <w:p w14:paraId="790B6197" w14:textId="0EAA9BF8" w:rsidR="00E76CEF" w:rsidRDefault="00E76CEF" w:rsidP="0074740C">
            <w:pPr>
              <w:pStyle w:val="BodyText"/>
              <w:spacing w:after="120" w:line="240" w:lineRule="auto"/>
            </w:pPr>
            <w:r>
              <w:t>Approval level</w:t>
            </w:r>
          </w:p>
        </w:tc>
        <w:tc>
          <w:tcPr>
            <w:tcW w:w="1843" w:type="dxa"/>
            <w:tcBorders>
              <w:bottom w:val="single" w:sz="4" w:space="0" w:color="auto"/>
            </w:tcBorders>
          </w:tcPr>
          <w:p w14:paraId="44ABDAB0" w14:textId="45D36757" w:rsidR="00E76CEF" w:rsidRDefault="00E76CEF" w:rsidP="0074740C">
            <w:pPr>
              <w:pStyle w:val="BodyText"/>
              <w:spacing w:after="120" w:line="240" w:lineRule="auto"/>
              <w:jc w:val="center"/>
            </w:pPr>
            <w:r>
              <w:t>Annual value</w:t>
            </w:r>
          </w:p>
        </w:tc>
        <w:tc>
          <w:tcPr>
            <w:tcW w:w="2224" w:type="dxa"/>
            <w:tcBorders>
              <w:bottom w:val="single" w:sz="4" w:space="0" w:color="auto"/>
            </w:tcBorders>
          </w:tcPr>
          <w:p w14:paraId="0FF15D18" w14:textId="63AE54E6" w:rsidR="00E76CEF" w:rsidRDefault="00E76CEF" w:rsidP="0074740C">
            <w:pPr>
              <w:pStyle w:val="BodyText"/>
              <w:spacing w:after="120" w:line="240" w:lineRule="auto"/>
              <w:jc w:val="center"/>
            </w:pPr>
            <w:r>
              <w:t>Total lifecycle value</w:t>
            </w:r>
          </w:p>
        </w:tc>
      </w:tr>
      <w:tr w:rsidR="00E76CEF" w14:paraId="44F9A693" w14:textId="77777777" w:rsidTr="0074740C">
        <w:tc>
          <w:tcPr>
            <w:tcW w:w="4824" w:type="dxa"/>
            <w:tcBorders>
              <w:top w:val="single" w:sz="4" w:space="0" w:color="auto"/>
            </w:tcBorders>
          </w:tcPr>
          <w:p w14:paraId="7584048C" w14:textId="4F27D50B" w:rsidR="00E76CEF" w:rsidRDefault="00E76CEF" w:rsidP="0074740C">
            <w:pPr>
              <w:pStyle w:val="BodyText"/>
              <w:spacing w:after="120" w:line="240" w:lineRule="auto"/>
            </w:pPr>
            <w:r>
              <w:t xml:space="preserve">Deputy </w:t>
            </w:r>
            <w:r w:rsidR="00DF5F56">
              <w:t>Director</w:t>
            </w:r>
          </w:p>
        </w:tc>
        <w:tc>
          <w:tcPr>
            <w:tcW w:w="1843" w:type="dxa"/>
            <w:tcBorders>
              <w:top w:val="single" w:sz="4" w:space="0" w:color="auto"/>
            </w:tcBorders>
          </w:tcPr>
          <w:p w14:paraId="64AF66BE" w14:textId="2064ED04" w:rsidR="00E76CEF" w:rsidRDefault="00E76CEF" w:rsidP="0074740C">
            <w:pPr>
              <w:pStyle w:val="BodyText"/>
              <w:spacing w:after="120" w:line="240" w:lineRule="auto"/>
              <w:jc w:val="center"/>
            </w:pPr>
            <w:r>
              <w:t>£100k</w:t>
            </w:r>
          </w:p>
        </w:tc>
        <w:tc>
          <w:tcPr>
            <w:tcW w:w="2224" w:type="dxa"/>
            <w:tcBorders>
              <w:top w:val="single" w:sz="4" w:space="0" w:color="auto"/>
            </w:tcBorders>
          </w:tcPr>
          <w:p w14:paraId="380578D7" w14:textId="04BA5CE5" w:rsidR="00E76CEF" w:rsidRDefault="00E76CEF" w:rsidP="0074740C">
            <w:pPr>
              <w:pStyle w:val="BodyText"/>
              <w:spacing w:after="120" w:line="240" w:lineRule="auto"/>
              <w:jc w:val="center"/>
            </w:pPr>
            <w:r>
              <w:t>&lt;£400k</w:t>
            </w:r>
          </w:p>
        </w:tc>
      </w:tr>
      <w:tr w:rsidR="00E76CEF" w14:paraId="20828FBE" w14:textId="77777777" w:rsidTr="0074740C">
        <w:tc>
          <w:tcPr>
            <w:tcW w:w="4824" w:type="dxa"/>
          </w:tcPr>
          <w:p w14:paraId="38782068" w14:textId="3906C247" w:rsidR="00E76CEF" w:rsidRDefault="00E76CEF" w:rsidP="0074740C">
            <w:pPr>
              <w:pStyle w:val="BodyText"/>
              <w:spacing w:after="120" w:line="240" w:lineRule="auto"/>
            </w:pPr>
            <w:r>
              <w:t>Lead Chief Officer</w:t>
            </w:r>
          </w:p>
        </w:tc>
        <w:tc>
          <w:tcPr>
            <w:tcW w:w="1843" w:type="dxa"/>
          </w:tcPr>
          <w:p w14:paraId="738008CD" w14:textId="16CD3027" w:rsidR="00E76CEF" w:rsidRDefault="00E76CEF" w:rsidP="0074740C">
            <w:pPr>
              <w:pStyle w:val="BodyText"/>
              <w:spacing w:after="120" w:line="240" w:lineRule="auto"/>
              <w:jc w:val="center"/>
            </w:pPr>
            <w:r>
              <w:t>&lt;£1m</w:t>
            </w:r>
          </w:p>
        </w:tc>
        <w:tc>
          <w:tcPr>
            <w:tcW w:w="2224" w:type="dxa"/>
          </w:tcPr>
          <w:p w14:paraId="11DE8435" w14:textId="515AD9D7" w:rsidR="00E76CEF" w:rsidRDefault="00E76CEF" w:rsidP="0074740C">
            <w:pPr>
              <w:pStyle w:val="BodyText"/>
              <w:spacing w:after="120" w:line="240" w:lineRule="auto"/>
              <w:jc w:val="center"/>
            </w:pPr>
            <w:r>
              <w:t>&lt;£4m</w:t>
            </w:r>
          </w:p>
        </w:tc>
      </w:tr>
      <w:tr w:rsidR="00E76CEF" w14:paraId="17E14817" w14:textId="77777777" w:rsidTr="0074740C">
        <w:tc>
          <w:tcPr>
            <w:tcW w:w="4824" w:type="dxa"/>
          </w:tcPr>
          <w:p w14:paraId="4BD11F20" w14:textId="4018C034" w:rsidR="00E76CEF" w:rsidRDefault="00E76CEF" w:rsidP="0074740C">
            <w:pPr>
              <w:pStyle w:val="BodyText"/>
              <w:spacing w:after="120" w:line="240" w:lineRule="auto"/>
            </w:pPr>
            <w:r>
              <w:t xml:space="preserve">Chief Finance </w:t>
            </w:r>
            <w:r w:rsidR="0016726D">
              <w:t xml:space="preserve">Officer </w:t>
            </w:r>
            <w:r w:rsidRPr="0074740C">
              <w:rPr>
                <w:b/>
                <w:bCs/>
                <w:u w:val="single"/>
              </w:rPr>
              <w:t>or</w:t>
            </w:r>
            <w:r>
              <w:t xml:space="preserve"> Chief Executive Officer</w:t>
            </w:r>
          </w:p>
        </w:tc>
        <w:tc>
          <w:tcPr>
            <w:tcW w:w="1843" w:type="dxa"/>
          </w:tcPr>
          <w:p w14:paraId="30A3E3D2" w14:textId="4880FB27" w:rsidR="00E76CEF" w:rsidRDefault="00E76CEF" w:rsidP="0074740C">
            <w:pPr>
              <w:pStyle w:val="BodyText"/>
              <w:spacing w:after="120" w:line="240" w:lineRule="auto"/>
              <w:jc w:val="center"/>
            </w:pPr>
            <w:r>
              <w:t>&lt;£5m</w:t>
            </w:r>
          </w:p>
        </w:tc>
        <w:tc>
          <w:tcPr>
            <w:tcW w:w="2224" w:type="dxa"/>
          </w:tcPr>
          <w:p w14:paraId="1A67B6EC" w14:textId="1902508F" w:rsidR="00E76CEF" w:rsidRDefault="00E76CEF" w:rsidP="0074740C">
            <w:pPr>
              <w:pStyle w:val="BodyText"/>
              <w:spacing w:after="120" w:line="240" w:lineRule="auto"/>
              <w:jc w:val="center"/>
            </w:pPr>
            <w:r>
              <w:t>&lt;£20m</w:t>
            </w:r>
          </w:p>
        </w:tc>
      </w:tr>
      <w:tr w:rsidR="00E76CEF" w14:paraId="5A6CE800" w14:textId="77777777" w:rsidTr="00E76CEF">
        <w:tc>
          <w:tcPr>
            <w:tcW w:w="4824" w:type="dxa"/>
          </w:tcPr>
          <w:p w14:paraId="2AFDA99D" w14:textId="50273EB0" w:rsidR="00E76CEF" w:rsidRDefault="00E76CEF" w:rsidP="00E76CEF">
            <w:pPr>
              <w:pStyle w:val="BodyText"/>
              <w:spacing w:after="120" w:line="240" w:lineRule="auto"/>
            </w:pPr>
            <w:r>
              <w:t>ICB Board following oversight by the relevant Board committees with a specific responsibility for the service being contracted.</w:t>
            </w:r>
          </w:p>
        </w:tc>
        <w:tc>
          <w:tcPr>
            <w:tcW w:w="1843" w:type="dxa"/>
          </w:tcPr>
          <w:p w14:paraId="6060C712" w14:textId="09C8C564" w:rsidR="00E76CEF" w:rsidRDefault="00E76CEF" w:rsidP="00E76CEF">
            <w:pPr>
              <w:pStyle w:val="BodyText"/>
              <w:spacing w:after="120" w:line="240" w:lineRule="auto"/>
              <w:jc w:val="center"/>
            </w:pPr>
            <w:r>
              <w:t>&gt;£5m</w:t>
            </w:r>
          </w:p>
        </w:tc>
        <w:tc>
          <w:tcPr>
            <w:tcW w:w="2224" w:type="dxa"/>
          </w:tcPr>
          <w:p w14:paraId="7BC1F1F9" w14:textId="3D8DCED3" w:rsidR="00E76CEF" w:rsidRDefault="00E76CEF" w:rsidP="00E76CEF">
            <w:pPr>
              <w:pStyle w:val="BodyText"/>
              <w:spacing w:after="120" w:line="240" w:lineRule="auto"/>
              <w:jc w:val="center"/>
            </w:pPr>
            <w:r>
              <w:t>&gt;£20m</w:t>
            </w:r>
          </w:p>
        </w:tc>
      </w:tr>
      <w:tr w:rsidR="00E76CEF" w14:paraId="3B78B14A" w14:textId="77777777" w:rsidTr="00E76CEF">
        <w:tc>
          <w:tcPr>
            <w:tcW w:w="4824" w:type="dxa"/>
          </w:tcPr>
          <w:p w14:paraId="18EE9997" w14:textId="77777777" w:rsidR="00E76CEF" w:rsidRDefault="00E76CEF" w:rsidP="00E76CEF">
            <w:pPr>
              <w:pStyle w:val="BodyText"/>
              <w:spacing w:after="120" w:line="240" w:lineRule="auto"/>
            </w:pPr>
          </w:p>
        </w:tc>
        <w:tc>
          <w:tcPr>
            <w:tcW w:w="1843" w:type="dxa"/>
          </w:tcPr>
          <w:p w14:paraId="1486F326" w14:textId="77777777" w:rsidR="00E76CEF" w:rsidRDefault="00E76CEF" w:rsidP="00E76CEF">
            <w:pPr>
              <w:pStyle w:val="BodyText"/>
              <w:spacing w:after="120" w:line="240" w:lineRule="auto"/>
              <w:jc w:val="center"/>
            </w:pPr>
          </w:p>
        </w:tc>
        <w:tc>
          <w:tcPr>
            <w:tcW w:w="2224" w:type="dxa"/>
          </w:tcPr>
          <w:p w14:paraId="182AC29D" w14:textId="77777777" w:rsidR="00E76CEF" w:rsidRDefault="00E76CEF" w:rsidP="00E76CEF">
            <w:pPr>
              <w:pStyle w:val="BodyText"/>
              <w:spacing w:after="120" w:line="240" w:lineRule="auto"/>
              <w:jc w:val="center"/>
            </w:pPr>
          </w:p>
        </w:tc>
      </w:tr>
    </w:tbl>
    <w:p w14:paraId="2565A718" w14:textId="04AADED0" w:rsidR="00A34980" w:rsidRPr="008F1592" w:rsidRDefault="00A34980" w:rsidP="0070678C">
      <w:pPr>
        <w:pStyle w:val="Heading3Numbered"/>
        <w:numPr>
          <w:ilvl w:val="0"/>
          <w:numId w:val="0"/>
        </w:numPr>
        <w:ind w:left="142"/>
        <w:rPr>
          <w:b/>
          <w:bCs/>
        </w:rPr>
      </w:pPr>
      <w:bookmarkStart w:id="30" w:name="_Hlk150871824"/>
      <w:r w:rsidRPr="008F1592">
        <w:rPr>
          <w:b/>
          <w:bCs/>
        </w:rPr>
        <w:t>Commissioning of packages of care</w:t>
      </w:r>
    </w:p>
    <w:bookmarkEnd w:id="30"/>
    <w:p w14:paraId="6F53D52D" w14:textId="74719149" w:rsidR="005C12D6" w:rsidRDefault="00823597" w:rsidP="0070678C">
      <w:pPr>
        <w:pStyle w:val="Heading3Numbered"/>
      </w:pPr>
      <w:r w:rsidRPr="00823597">
        <w:t>The Chief Nursing Officer</w:t>
      </w:r>
      <w:r w:rsidRPr="00823597">
        <w:rPr>
          <w:i/>
          <w:iCs/>
        </w:rPr>
        <w:t xml:space="preserve"> </w:t>
      </w:r>
      <w:r w:rsidRPr="00823597">
        <w:t>will develop a commissioning policy for individual funded care packages.  The formal authorisation to procure is delegated as follows (values represent annual costs of packages of care) and will follow an escalation process:</w:t>
      </w:r>
    </w:p>
    <w:p w14:paraId="3C34D0E2" w14:textId="320C838C" w:rsidR="005C12D6" w:rsidRDefault="005C12D6" w:rsidP="00702288">
      <w:pPr>
        <w:pStyle w:val="BodyText"/>
        <w:rPr>
          <w:color w:val="auto"/>
        </w:rPr>
      </w:pPr>
      <w:r w:rsidRPr="002E7730">
        <w:rPr>
          <w:color w:val="auto"/>
          <w:u w:val="single"/>
        </w:rPr>
        <w:t>BNSSG ICB</w:t>
      </w:r>
      <w:r w:rsidRPr="002E7730">
        <w:rPr>
          <w:color w:val="auto"/>
        </w:rPr>
        <w:t xml:space="preserve">: </w:t>
      </w:r>
    </w:p>
    <w:tbl>
      <w:tblPr>
        <w:tblStyle w:val="TableGrid"/>
        <w:tblW w:w="7796" w:type="dxa"/>
        <w:tblInd w:w="988" w:type="dxa"/>
        <w:tblLook w:val="04A0" w:firstRow="1" w:lastRow="0" w:firstColumn="1" w:lastColumn="0" w:noHBand="0" w:noVBand="1"/>
      </w:tblPr>
      <w:tblGrid>
        <w:gridCol w:w="2556"/>
        <w:gridCol w:w="5240"/>
      </w:tblGrid>
      <w:tr w:rsidR="00125710" w14:paraId="3210884B" w14:textId="77777777" w:rsidTr="00125710">
        <w:tc>
          <w:tcPr>
            <w:tcW w:w="2556" w:type="dxa"/>
          </w:tcPr>
          <w:p w14:paraId="443787B6" w14:textId="59EE6A23" w:rsidR="00125710" w:rsidRDefault="00125710" w:rsidP="00125710">
            <w:pPr>
              <w:pStyle w:val="BodyText"/>
              <w:spacing w:after="240" w:line="240" w:lineRule="auto"/>
              <w:rPr>
                <w:color w:val="auto"/>
              </w:rPr>
            </w:pPr>
            <w:r w:rsidRPr="002E7730">
              <w:rPr>
                <w:rFonts w:eastAsia="Times New Roman"/>
                <w:color w:val="auto"/>
              </w:rPr>
              <w:t>£130k</w:t>
            </w:r>
          </w:p>
        </w:tc>
        <w:tc>
          <w:tcPr>
            <w:tcW w:w="5240" w:type="dxa"/>
          </w:tcPr>
          <w:p w14:paraId="215E19CD" w14:textId="7FA339D9" w:rsidR="00125710" w:rsidRDefault="00125710" w:rsidP="00125710">
            <w:pPr>
              <w:pStyle w:val="BodyText"/>
              <w:spacing w:after="240" w:line="240" w:lineRule="auto"/>
              <w:rPr>
                <w:color w:val="auto"/>
              </w:rPr>
            </w:pPr>
            <w:r w:rsidRPr="002E7730">
              <w:rPr>
                <w:rFonts w:eastAsia="Times New Roman"/>
                <w:color w:val="auto"/>
              </w:rPr>
              <w:t xml:space="preserve">Designated budget holder </w:t>
            </w:r>
            <w:r w:rsidRPr="002E7730">
              <w:rPr>
                <w:rFonts w:eastAsia="Times New Roman"/>
                <w:i/>
                <w:iCs/>
                <w:color w:val="auto"/>
                <w:sz w:val="16"/>
                <w:szCs w:val="16"/>
              </w:rPr>
              <w:t>(level 1 and 2 of policy)</w:t>
            </w:r>
          </w:p>
        </w:tc>
      </w:tr>
      <w:tr w:rsidR="00125710" w14:paraId="24BD4C38" w14:textId="77777777" w:rsidTr="00125710">
        <w:tc>
          <w:tcPr>
            <w:tcW w:w="2556" w:type="dxa"/>
          </w:tcPr>
          <w:p w14:paraId="3F496F47" w14:textId="5228143D" w:rsidR="00125710" w:rsidRDefault="00125710" w:rsidP="00125710">
            <w:pPr>
              <w:pStyle w:val="BodyText"/>
              <w:spacing w:after="240" w:line="240" w:lineRule="auto"/>
              <w:rPr>
                <w:color w:val="auto"/>
              </w:rPr>
            </w:pPr>
            <w:r w:rsidRPr="002E7730">
              <w:rPr>
                <w:rFonts w:eastAsia="Times New Roman"/>
                <w:color w:val="auto"/>
              </w:rPr>
              <w:t>&gt;£130k and &lt;£260k</w:t>
            </w:r>
          </w:p>
        </w:tc>
        <w:tc>
          <w:tcPr>
            <w:tcW w:w="5240" w:type="dxa"/>
          </w:tcPr>
          <w:p w14:paraId="7F3EBBF3" w14:textId="2C482D84" w:rsidR="00125710" w:rsidRDefault="00125710" w:rsidP="00125710">
            <w:pPr>
              <w:pStyle w:val="BodyText"/>
              <w:spacing w:after="240" w:line="240" w:lineRule="auto"/>
              <w:rPr>
                <w:color w:val="auto"/>
              </w:rPr>
            </w:pPr>
            <w:r w:rsidRPr="002E7730">
              <w:rPr>
                <w:rFonts w:eastAsia="Times New Roman"/>
                <w:color w:val="auto"/>
              </w:rPr>
              <w:t xml:space="preserve">As above plus Complex Care panel </w:t>
            </w:r>
            <w:r w:rsidRPr="002E7730">
              <w:rPr>
                <w:rFonts w:eastAsia="Times New Roman"/>
                <w:color w:val="auto"/>
                <w:sz w:val="16"/>
                <w:szCs w:val="16"/>
              </w:rPr>
              <w:t>(level 3)</w:t>
            </w:r>
          </w:p>
        </w:tc>
      </w:tr>
      <w:tr w:rsidR="00125710" w14:paraId="14F272E6" w14:textId="77777777" w:rsidTr="00125710">
        <w:tc>
          <w:tcPr>
            <w:tcW w:w="2556" w:type="dxa"/>
          </w:tcPr>
          <w:p w14:paraId="0D21CC66" w14:textId="5A976FED" w:rsidR="00125710" w:rsidRDefault="00125710" w:rsidP="00125710">
            <w:pPr>
              <w:pStyle w:val="BodyText"/>
              <w:spacing w:after="240" w:line="240" w:lineRule="auto"/>
              <w:rPr>
                <w:color w:val="auto"/>
              </w:rPr>
            </w:pPr>
            <w:r w:rsidRPr="002E7730">
              <w:rPr>
                <w:rFonts w:eastAsia="Times New Roman"/>
                <w:color w:val="auto"/>
              </w:rPr>
              <w:t>&gt;£260k and &lt;£520k</w:t>
            </w:r>
          </w:p>
        </w:tc>
        <w:tc>
          <w:tcPr>
            <w:tcW w:w="5240" w:type="dxa"/>
          </w:tcPr>
          <w:p w14:paraId="64AB268A" w14:textId="16D2121F" w:rsidR="00125710" w:rsidRDefault="00125710" w:rsidP="00125710">
            <w:pPr>
              <w:pStyle w:val="BodyText"/>
              <w:spacing w:after="240" w:line="240" w:lineRule="auto"/>
              <w:rPr>
                <w:color w:val="auto"/>
              </w:rPr>
            </w:pPr>
            <w:r w:rsidRPr="002E7730">
              <w:rPr>
                <w:rFonts w:eastAsia="Times New Roman"/>
                <w:color w:val="auto"/>
              </w:rPr>
              <w:t>As above plus High</w:t>
            </w:r>
            <w:r w:rsidR="00DF5F56">
              <w:rPr>
                <w:rFonts w:eastAsia="Times New Roman"/>
                <w:color w:val="auto"/>
              </w:rPr>
              <w:t>-</w:t>
            </w:r>
            <w:r w:rsidRPr="002E7730">
              <w:rPr>
                <w:rFonts w:eastAsia="Times New Roman"/>
                <w:color w:val="auto"/>
              </w:rPr>
              <w:t xml:space="preserve">cost panel </w:t>
            </w:r>
            <w:r w:rsidRPr="002E7730">
              <w:rPr>
                <w:rFonts w:eastAsia="Times New Roman"/>
                <w:i/>
                <w:iCs/>
                <w:color w:val="auto"/>
                <w:sz w:val="16"/>
                <w:szCs w:val="16"/>
              </w:rPr>
              <w:t>(level 4)</w:t>
            </w:r>
          </w:p>
        </w:tc>
      </w:tr>
      <w:tr w:rsidR="00125710" w14:paraId="135F5FBC" w14:textId="77777777" w:rsidTr="00125710">
        <w:tc>
          <w:tcPr>
            <w:tcW w:w="2556" w:type="dxa"/>
          </w:tcPr>
          <w:p w14:paraId="342E9136" w14:textId="446E5944" w:rsidR="00125710" w:rsidRDefault="00125710" w:rsidP="00125710">
            <w:pPr>
              <w:pStyle w:val="BodyText"/>
              <w:spacing w:after="240" w:line="240" w:lineRule="auto"/>
              <w:rPr>
                <w:color w:val="auto"/>
              </w:rPr>
            </w:pPr>
            <w:r w:rsidRPr="002E7730">
              <w:rPr>
                <w:rFonts w:eastAsia="Times New Roman"/>
                <w:color w:val="auto"/>
              </w:rPr>
              <w:t>&gt;£520k and &lt;£750k</w:t>
            </w:r>
          </w:p>
        </w:tc>
        <w:tc>
          <w:tcPr>
            <w:tcW w:w="5240" w:type="dxa"/>
          </w:tcPr>
          <w:p w14:paraId="79858C2C" w14:textId="54B18FFD" w:rsidR="00125710" w:rsidRDefault="00125710" w:rsidP="00125710">
            <w:pPr>
              <w:pStyle w:val="BodyText"/>
              <w:spacing w:after="240" w:line="240" w:lineRule="auto"/>
              <w:rPr>
                <w:color w:val="auto"/>
              </w:rPr>
            </w:pPr>
            <w:r w:rsidRPr="002E7730">
              <w:rPr>
                <w:rFonts w:eastAsia="Times New Roman"/>
                <w:color w:val="auto"/>
              </w:rPr>
              <w:t xml:space="preserve">As above plus Chief Nursing Officer </w:t>
            </w:r>
            <w:r w:rsidRPr="002E7730">
              <w:rPr>
                <w:rFonts w:eastAsia="Times New Roman"/>
                <w:i/>
                <w:iCs/>
                <w:color w:val="auto"/>
                <w:sz w:val="16"/>
                <w:szCs w:val="16"/>
              </w:rPr>
              <w:t>(level 5)</w:t>
            </w:r>
          </w:p>
        </w:tc>
      </w:tr>
      <w:tr w:rsidR="00125710" w14:paraId="258B4CF7" w14:textId="77777777" w:rsidTr="00125710">
        <w:tc>
          <w:tcPr>
            <w:tcW w:w="2556" w:type="dxa"/>
          </w:tcPr>
          <w:p w14:paraId="4CE86A91" w14:textId="6FC936AC" w:rsidR="00125710" w:rsidRDefault="00125710" w:rsidP="00125710">
            <w:pPr>
              <w:pStyle w:val="BodyText"/>
              <w:spacing w:after="240" w:line="240" w:lineRule="auto"/>
              <w:rPr>
                <w:color w:val="auto"/>
              </w:rPr>
            </w:pPr>
            <w:r w:rsidRPr="002E7730">
              <w:rPr>
                <w:rFonts w:eastAsia="Times New Roman"/>
                <w:color w:val="auto"/>
              </w:rPr>
              <w:t>£750k and &lt;£1m</w:t>
            </w:r>
          </w:p>
        </w:tc>
        <w:tc>
          <w:tcPr>
            <w:tcW w:w="5240" w:type="dxa"/>
          </w:tcPr>
          <w:p w14:paraId="0B4D0A28" w14:textId="1A16935E" w:rsidR="00125710" w:rsidRPr="00125710" w:rsidRDefault="00125710" w:rsidP="00125710">
            <w:pPr>
              <w:pStyle w:val="BodyText"/>
              <w:spacing w:after="240" w:line="240" w:lineRule="auto"/>
              <w:rPr>
                <w:rFonts w:eastAsia="Times New Roman"/>
                <w:color w:val="auto"/>
              </w:rPr>
            </w:pPr>
            <w:r w:rsidRPr="002E7730">
              <w:rPr>
                <w:rFonts w:eastAsia="Times New Roman"/>
                <w:color w:val="auto"/>
              </w:rPr>
              <w:t xml:space="preserve">As above plus Chief Finance Officer </w:t>
            </w:r>
            <w:r w:rsidRPr="002E7730">
              <w:rPr>
                <w:rFonts w:eastAsia="Times New Roman"/>
                <w:b/>
                <w:bCs/>
                <w:color w:val="auto"/>
                <w:u w:val="single"/>
              </w:rPr>
              <w:t>or</w:t>
            </w:r>
            <w:r w:rsidRPr="002E7730">
              <w:rPr>
                <w:rFonts w:eastAsia="Times New Roman"/>
                <w:color w:val="auto"/>
              </w:rPr>
              <w:t xml:space="preserve"> Chief</w:t>
            </w:r>
            <w:r>
              <w:rPr>
                <w:rFonts w:eastAsia="Times New Roman"/>
                <w:color w:val="auto"/>
              </w:rPr>
              <w:t xml:space="preserve"> </w:t>
            </w:r>
            <w:r w:rsidRPr="002E7730">
              <w:rPr>
                <w:rFonts w:eastAsia="Times New Roman"/>
                <w:color w:val="auto"/>
              </w:rPr>
              <w:t xml:space="preserve">Executive Officer </w:t>
            </w:r>
          </w:p>
        </w:tc>
      </w:tr>
      <w:tr w:rsidR="00125710" w14:paraId="0B27FCA8" w14:textId="77777777" w:rsidTr="00125710">
        <w:tc>
          <w:tcPr>
            <w:tcW w:w="2556" w:type="dxa"/>
          </w:tcPr>
          <w:p w14:paraId="6C146E8D" w14:textId="2A58F796" w:rsidR="00125710" w:rsidRDefault="00125710" w:rsidP="00125710">
            <w:pPr>
              <w:pStyle w:val="BodyText"/>
              <w:spacing w:after="240" w:line="240" w:lineRule="auto"/>
              <w:rPr>
                <w:color w:val="auto"/>
              </w:rPr>
            </w:pPr>
            <w:r w:rsidRPr="002E7730">
              <w:rPr>
                <w:rFonts w:eastAsia="Times New Roman"/>
                <w:color w:val="auto"/>
              </w:rPr>
              <w:t>&gt;£1m</w:t>
            </w:r>
          </w:p>
        </w:tc>
        <w:tc>
          <w:tcPr>
            <w:tcW w:w="5240" w:type="dxa"/>
          </w:tcPr>
          <w:p w14:paraId="66E21AB8" w14:textId="39A1CCDD" w:rsidR="00125710" w:rsidRPr="00125710" w:rsidRDefault="00125710" w:rsidP="00125710">
            <w:pPr>
              <w:pStyle w:val="BodyText"/>
              <w:spacing w:after="240" w:line="240" w:lineRule="auto"/>
              <w:rPr>
                <w:rFonts w:eastAsia="Times New Roman"/>
                <w:color w:val="auto"/>
              </w:rPr>
            </w:pPr>
            <w:r w:rsidRPr="002E7730">
              <w:rPr>
                <w:rFonts w:eastAsia="Times New Roman"/>
                <w:color w:val="auto"/>
              </w:rPr>
              <w:t>Specially convened panel including</w:t>
            </w:r>
            <w:r>
              <w:rPr>
                <w:rFonts w:eastAsia="Times New Roman"/>
                <w:color w:val="auto"/>
              </w:rPr>
              <w:t xml:space="preserve"> </w:t>
            </w:r>
            <w:r w:rsidRPr="002E7730">
              <w:rPr>
                <w:rFonts w:eastAsia="Times New Roman"/>
                <w:color w:val="auto"/>
              </w:rPr>
              <w:t xml:space="preserve">Chief Nursing Officer, Chief Finance Officer, </w:t>
            </w:r>
            <w:r w:rsidRPr="002E7730">
              <w:rPr>
                <w:rFonts w:eastAsia="Times New Roman"/>
                <w:color w:val="auto"/>
                <w:u w:val="single"/>
              </w:rPr>
              <w:t xml:space="preserve">Chief Executive </w:t>
            </w:r>
            <w:r w:rsidRPr="002E7730">
              <w:rPr>
                <w:rFonts w:eastAsia="Times New Roman"/>
                <w:i/>
                <w:iCs/>
                <w:color w:val="auto"/>
                <w:sz w:val="16"/>
                <w:szCs w:val="16"/>
                <w:u w:val="single"/>
              </w:rPr>
              <w:t>(level 5)</w:t>
            </w:r>
          </w:p>
        </w:tc>
      </w:tr>
    </w:tbl>
    <w:p w14:paraId="001427DC" w14:textId="2EAD29DF" w:rsidR="005C12D6" w:rsidRDefault="0016726D" w:rsidP="0090216D">
      <w:pPr>
        <w:pStyle w:val="BodyText"/>
        <w:rPr>
          <w:rFonts w:eastAsia="Times New Roman"/>
          <w:color w:val="auto"/>
          <w:u w:val="single"/>
        </w:rPr>
      </w:pPr>
      <w:bookmarkStart w:id="31" w:name="_Hlk151052834"/>
      <w:r>
        <w:rPr>
          <w:rFonts w:eastAsia="Times New Roman"/>
          <w:color w:val="auto"/>
        </w:rPr>
        <w:t>Chief Finance Officer</w:t>
      </w:r>
      <w:r w:rsidR="00572AFD">
        <w:rPr>
          <w:rFonts w:eastAsia="Times New Roman"/>
          <w:color w:val="auto"/>
        </w:rPr>
        <w:t xml:space="preserve"> </w:t>
      </w:r>
      <w:r w:rsidR="005C12D6" w:rsidRPr="002E7730">
        <w:rPr>
          <w:rFonts w:eastAsia="Times New Roman"/>
          <w:color w:val="auto"/>
          <w:u w:val="single"/>
        </w:rPr>
        <w:t>Gloucestershire ICB</w:t>
      </w:r>
    </w:p>
    <w:tbl>
      <w:tblPr>
        <w:tblStyle w:val="TableGrid"/>
        <w:tblW w:w="7796" w:type="dxa"/>
        <w:tblInd w:w="988" w:type="dxa"/>
        <w:tblLook w:val="04A0" w:firstRow="1" w:lastRow="0" w:firstColumn="1" w:lastColumn="0" w:noHBand="0" w:noVBand="1"/>
      </w:tblPr>
      <w:tblGrid>
        <w:gridCol w:w="2556"/>
        <w:gridCol w:w="5240"/>
      </w:tblGrid>
      <w:tr w:rsidR="00125710" w14:paraId="6C163253" w14:textId="77777777" w:rsidTr="001C168E">
        <w:tc>
          <w:tcPr>
            <w:tcW w:w="2556" w:type="dxa"/>
          </w:tcPr>
          <w:p w14:paraId="78BA5B0D" w14:textId="1A0E5AF1" w:rsidR="00125710" w:rsidRDefault="00125710" w:rsidP="001C168E">
            <w:pPr>
              <w:pStyle w:val="BodyText"/>
              <w:spacing w:after="240" w:line="240" w:lineRule="auto"/>
              <w:rPr>
                <w:color w:val="auto"/>
              </w:rPr>
            </w:pPr>
            <w:r w:rsidRPr="002E7730">
              <w:rPr>
                <w:rFonts w:eastAsia="Times New Roman"/>
                <w:color w:val="auto"/>
              </w:rPr>
              <w:t>&lt;£520k</w:t>
            </w:r>
          </w:p>
        </w:tc>
        <w:tc>
          <w:tcPr>
            <w:tcW w:w="5240" w:type="dxa"/>
          </w:tcPr>
          <w:p w14:paraId="6E5653F8" w14:textId="26DCA2A3" w:rsidR="00125710" w:rsidRPr="00125710" w:rsidRDefault="00125710" w:rsidP="00125710">
            <w:pPr>
              <w:pStyle w:val="BodyText"/>
              <w:spacing w:after="0" w:line="240" w:lineRule="auto"/>
              <w:rPr>
                <w:rFonts w:eastAsia="Times New Roman"/>
                <w:color w:val="auto"/>
              </w:rPr>
            </w:pPr>
            <w:r w:rsidRPr="002E7730">
              <w:rPr>
                <w:rFonts w:eastAsia="Times New Roman"/>
                <w:color w:val="auto"/>
              </w:rPr>
              <w:t>Risk and Scrutiny Panel for health funded                                  packages of care. For joint funded packages of</w:t>
            </w:r>
            <w:r>
              <w:rPr>
                <w:rFonts w:eastAsia="Times New Roman"/>
                <w:color w:val="auto"/>
              </w:rPr>
              <w:t xml:space="preserve"> </w:t>
            </w:r>
            <w:r w:rsidRPr="002E7730">
              <w:rPr>
                <w:rFonts w:eastAsia="Times New Roman"/>
                <w:color w:val="auto"/>
              </w:rPr>
              <w:t>care, the Multi Agency Panel for adults and</w:t>
            </w:r>
            <w:r>
              <w:rPr>
                <w:rFonts w:eastAsia="Times New Roman"/>
                <w:color w:val="auto"/>
              </w:rPr>
              <w:t xml:space="preserve"> </w:t>
            </w:r>
            <w:r w:rsidRPr="002E7730">
              <w:rPr>
                <w:rFonts w:eastAsia="Times New Roman"/>
                <w:color w:val="auto"/>
              </w:rPr>
              <w:t>Placement &amp; Budget Exceptions and</w:t>
            </w:r>
            <w:r>
              <w:rPr>
                <w:rFonts w:eastAsia="Times New Roman"/>
                <w:color w:val="auto"/>
              </w:rPr>
              <w:t xml:space="preserve"> </w:t>
            </w:r>
            <w:r w:rsidRPr="002E7730">
              <w:rPr>
                <w:rFonts w:eastAsia="Times New Roman"/>
                <w:color w:val="auto"/>
              </w:rPr>
              <w:t>Governance Panel</w:t>
            </w:r>
            <w:r>
              <w:rPr>
                <w:rFonts w:eastAsia="Times New Roman"/>
                <w:color w:val="auto"/>
              </w:rPr>
              <w:t xml:space="preserve"> </w:t>
            </w:r>
            <w:r w:rsidRPr="002E7730">
              <w:rPr>
                <w:rFonts w:eastAsia="Times New Roman"/>
                <w:color w:val="auto"/>
              </w:rPr>
              <w:t>(PBENG) for children’s</w:t>
            </w:r>
            <w:r>
              <w:rPr>
                <w:rFonts w:eastAsia="Times New Roman"/>
                <w:color w:val="auto"/>
              </w:rPr>
              <w:t xml:space="preserve"> </w:t>
            </w:r>
            <w:r w:rsidRPr="002E7730">
              <w:rPr>
                <w:rFonts w:eastAsia="Times New Roman"/>
                <w:color w:val="auto"/>
              </w:rPr>
              <w:t>packages of care</w:t>
            </w:r>
          </w:p>
          <w:p w14:paraId="2044023A" w14:textId="5A1A3EAD" w:rsidR="00125710" w:rsidRDefault="00125710" w:rsidP="001C168E">
            <w:pPr>
              <w:pStyle w:val="BodyText"/>
              <w:spacing w:after="240" w:line="240" w:lineRule="auto"/>
              <w:rPr>
                <w:color w:val="auto"/>
              </w:rPr>
            </w:pPr>
          </w:p>
        </w:tc>
      </w:tr>
      <w:tr w:rsidR="00125710" w14:paraId="5E95A99B" w14:textId="77777777" w:rsidTr="001C168E">
        <w:tc>
          <w:tcPr>
            <w:tcW w:w="2556" w:type="dxa"/>
          </w:tcPr>
          <w:p w14:paraId="2A959064" w14:textId="370F3F72" w:rsidR="00125710" w:rsidRDefault="00125710" w:rsidP="001C168E">
            <w:pPr>
              <w:pStyle w:val="BodyText"/>
              <w:spacing w:after="240" w:line="240" w:lineRule="auto"/>
              <w:rPr>
                <w:color w:val="auto"/>
              </w:rPr>
            </w:pPr>
            <w:r w:rsidRPr="002E7730">
              <w:rPr>
                <w:rFonts w:eastAsia="Times New Roman"/>
                <w:color w:val="auto"/>
              </w:rPr>
              <w:t>&gt;£520k and &lt;£750k</w:t>
            </w:r>
          </w:p>
        </w:tc>
        <w:tc>
          <w:tcPr>
            <w:tcW w:w="5240" w:type="dxa"/>
          </w:tcPr>
          <w:p w14:paraId="46D11815" w14:textId="01896211" w:rsidR="00125710" w:rsidRDefault="00125710" w:rsidP="001C168E">
            <w:pPr>
              <w:pStyle w:val="BodyText"/>
              <w:spacing w:after="240" w:line="240" w:lineRule="auto"/>
              <w:rPr>
                <w:color w:val="auto"/>
              </w:rPr>
            </w:pPr>
            <w:r w:rsidRPr="002E7730">
              <w:rPr>
                <w:rFonts w:eastAsia="Times New Roman"/>
                <w:color w:val="auto"/>
              </w:rPr>
              <w:t>As above plus Chief Nursing Officer</w:t>
            </w:r>
          </w:p>
        </w:tc>
      </w:tr>
      <w:tr w:rsidR="00125710" w14:paraId="1C319B6F" w14:textId="77777777" w:rsidTr="001C168E">
        <w:tc>
          <w:tcPr>
            <w:tcW w:w="2556" w:type="dxa"/>
          </w:tcPr>
          <w:p w14:paraId="2E988031" w14:textId="13D019AA" w:rsidR="00125710" w:rsidRDefault="00125710" w:rsidP="001C168E">
            <w:pPr>
              <w:pStyle w:val="BodyText"/>
              <w:spacing w:after="240" w:line="240" w:lineRule="auto"/>
              <w:rPr>
                <w:color w:val="auto"/>
              </w:rPr>
            </w:pPr>
            <w:r>
              <w:rPr>
                <w:rFonts w:eastAsia="Times New Roman"/>
                <w:color w:val="auto"/>
              </w:rPr>
              <w:t>&gt;</w:t>
            </w:r>
            <w:r w:rsidRPr="002E7730">
              <w:rPr>
                <w:rFonts w:eastAsia="Times New Roman"/>
                <w:color w:val="auto"/>
              </w:rPr>
              <w:t>£750k and &lt;£1m</w:t>
            </w:r>
          </w:p>
        </w:tc>
        <w:tc>
          <w:tcPr>
            <w:tcW w:w="5240" w:type="dxa"/>
          </w:tcPr>
          <w:p w14:paraId="2B7AAC52" w14:textId="6B401927" w:rsidR="00125710" w:rsidRDefault="00125710" w:rsidP="001C168E">
            <w:pPr>
              <w:pStyle w:val="BodyText"/>
              <w:spacing w:after="240" w:line="240" w:lineRule="auto"/>
              <w:rPr>
                <w:color w:val="auto"/>
              </w:rPr>
            </w:pPr>
            <w:r w:rsidRPr="002E7730">
              <w:rPr>
                <w:rFonts w:eastAsia="Times New Roman"/>
                <w:color w:val="auto"/>
              </w:rPr>
              <w:t>As above plus High</w:t>
            </w:r>
            <w:r w:rsidR="00DF5F56">
              <w:rPr>
                <w:rFonts w:eastAsia="Times New Roman"/>
                <w:color w:val="auto"/>
              </w:rPr>
              <w:t>-</w:t>
            </w:r>
            <w:r w:rsidRPr="002E7730">
              <w:rPr>
                <w:rFonts w:eastAsia="Times New Roman"/>
                <w:color w:val="auto"/>
              </w:rPr>
              <w:t xml:space="preserve">cost panel </w:t>
            </w:r>
            <w:r w:rsidRPr="002E7730">
              <w:rPr>
                <w:rFonts w:eastAsia="Times New Roman"/>
                <w:i/>
                <w:iCs/>
                <w:color w:val="auto"/>
                <w:sz w:val="16"/>
                <w:szCs w:val="16"/>
              </w:rPr>
              <w:t>(level 4)</w:t>
            </w:r>
          </w:p>
        </w:tc>
      </w:tr>
      <w:tr w:rsidR="00125710" w14:paraId="0CDC9665" w14:textId="77777777" w:rsidTr="001C168E">
        <w:tc>
          <w:tcPr>
            <w:tcW w:w="2556" w:type="dxa"/>
          </w:tcPr>
          <w:p w14:paraId="3624BC67" w14:textId="77777777" w:rsidR="00125710" w:rsidRDefault="00125710" w:rsidP="001C168E">
            <w:pPr>
              <w:pStyle w:val="BodyText"/>
              <w:spacing w:after="240" w:line="240" w:lineRule="auto"/>
              <w:rPr>
                <w:color w:val="auto"/>
              </w:rPr>
            </w:pPr>
            <w:r w:rsidRPr="002E7730">
              <w:rPr>
                <w:rFonts w:eastAsia="Times New Roman"/>
                <w:color w:val="auto"/>
              </w:rPr>
              <w:t>&gt;£520k and &lt;£750k</w:t>
            </w:r>
          </w:p>
        </w:tc>
        <w:tc>
          <w:tcPr>
            <w:tcW w:w="5240" w:type="dxa"/>
          </w:tcPr>
          <w:p w14:paraId="3A5C9568" w14:textId="19A1F5C6" w:rsidR="00125710" w:rsidRPr="00125710" w:rsidRDefault="00125710" w:rsidP="00125710">
            <w:pPr>
              <w:pStyle w:val="BodyText"/>
              <w:spacing w:after="240"/>
              <w:rPr>
                <w:rFonts w:eastAsia="Times New Roman"/>
                <w:color w:val="auto"/>
              </w:rPr>
            </w:pPr>
            <w:r w:rsidRPr="00125710">
              <w:rPr>
                <w:rFonts w:eastAsia="Times New Roman"/>
                <w:color w:val="auto"/>
              </w:rPr>
              <w:t>As above plus Chief Finance Officer or Chief</w:t>
            </w:r>
            <w:r>
              <w:rPr>
                <w:rFonts w:eastAsia="Times New Roman"/>
                <w:color w:val="auto"/>
              </w:rPr>
              <w:t xml:space="preserve"> </w:t>
            </w:r>
            <w:r w:rsidRPr="00125710">
              <w:rPr>
                <w:rFonts w:eastAsia="Times New Roman"/>
                <w:color w:val="auto"/>
              </w:rPr>
              <w:t>Executive Officer</w:t>
            </w:r>
          </w:p>
        </w:tc>
      </w:tr>
      <w:tr w:rsidR="00125710" w14:paraId="0C796652" w14:textId="77777777" w:rsidTr="001C168E">
        <w:tc>
          <w:tcPr>
            <w:tcW w:w="2556" w:type="dxa"/>
          </w:tcPr>
          <w:p w14:paraId="05824B7B" w14:textId="77777777" w:rsidR="00125710" w:rsidRDefault="00125710" w:rsidP="001C168E">
            <w:pPr>
              <w:pStyle w:val="BodyText"/>
              <w:spacing w:after="240" w:line="240" w:lineRule="auto"/>
              <w:rPr>
                <w:color w:val="auto"/>
              </w:rPr>
            </w:pPr>
            <w:r w:rsidRPr="002E7730">
              <w:rPr>
                <w:rFonts w:eastAsia="Times New Roman"/>
                <w:color w:val="auto"/>
              </w:rPr>
              <w:t>£750k and &lt;£1m</w:t>
            </w:r>
          </w:p>
        </w:tc>
        <w:tc>
          <w:tcPr>
            <w:tcW w:w="5240" w:type="dxa"/>
          </w:tcPr>
          <w:p w14:paraId="7296564B" w14:textId="0BB287F2" w:rsidR="00125710" w:rsidRPr="00125710" w:rsidRDefault="00125710" w:rsidP="001C168E">
            <w:pPr>
              <w:pStyle w:val="BodyText"/>
              <w:spacing w:after="240" w:line="240" w:lineRule="auto"/>
              <w:rPr>
                <w:rFonts w:eastAsia="Times New Roman"/>
                <w:color w:val="auto"/>
              </w:rPr>
            </w:pPr>
            <w:r w:rsidRPr="002E7730">
              <w:rPr>
                <w:rFonts w:eastAsia="Times New Roman"/>
                <w:color w:val="auto"/>
              </w:rPr>
              <w:t xml:space="preserve">As above plus </w:t>
            </w:r>
            <w:r w:rsidR="0016726D">
              <w:rPr>
                <w:rFonts w:eastAsia="Times New Roman"/>
                <w:color w:val="auto"/>
              </w:rPr>
              <w:t>Chief Finance Officer</w:t>
            </w:r>
            <w:r w:rsidRPr="002E7730">
              <w:rPr>
                <w:rFonts w:eastAsia="Times New Roman"/>
                <w:color w:val="auto"/>
              </w:rPr>
              <w:t xml:space="preserve"> </w:t>
            </w:r>
            <w:r w:rsidRPr="002E7730">
              <w:rPr>
                <w:rFonts w:eastAsia="Times New Roman"/>
                <w:b/>
                <w:bCs/>
                <w:color w:val="auto"/>
                <w:u w:val="single"/>
              </w:rPr>
              <w:t>or</w:t>
            </w:r>
            <w:r w:rsidRPr="002E7730">
              <w:rPr>
                <w:rFonts w:eastAsia="Times New Roman"/>
                <w:color w:val="auto"/>
              </w:rPr>
              <w:t xml:space="preserve"> Chief</w:t>
            </w:r>
            <w:r>
              <w:rPr>
                <w:rFonts w:eastAsia="Times New Roman"/>
                <w:color w:val="auto"/>
              </w:rPr>
              <w:t xml:space="preserve"> </w:t>
            </w:r>
            <w:r w:rsidRPr="002E7730">
              <w:rPr>
                <w:rFonts w:eastAsia="Times New Roman"/>
                <w:color w:val="auto"/>
              </w:rPr>
              <w:t xml:space="preserve">Executive Officer </w:t>
            </w:r>
          </w:p>
        </w:tc>
      </w:tr>
      <w:tr w:rsidR="00125710" w14:paraId="6CFD8D8E" w14:textId="77777777" w:rsidTr="001C168E">
        <w:tc>
          <w:tcPr>
            <w:tcW w:w="2556" w:type="dxa"/>
          </w:tcPr>
          <w:p w14:paraId="285720FF" w14:textId="77777777" w:rsidR="00125710" w:rsidRDefault="00125710" w:rsidP="001C168E">
            <w:pPr>
              <w:pStyle w:val="BodyText"/>
              <w:spacing w:after="240" w:line="240" w:lineRule="auto"/>
              <w:rPr>
                <w:color w:val="auto"/>
              </w:rPr>
            </w:pPr>
            <w:r w:rsidRPr="002E7730">
              <w:rPr>
                <w:rFonts w:eastAsia="Times New Roman"/>
                <w:color w:val="auto"/>
              </w:rPr>
              <w:t>&gt;£1m</w:t>
            </w:r>
          </w:p>
        </w:tc>
        <w:tc>
          <w:tcPr>
            <w:tcW w:w="5240" w:type="dxa"/>
          </w:tcPr>
          <w:p w14:paraId="31999BDF" w14:textId="0BF43A59" w:rsidR="00125710" w:rsidRPr="00125710" w:rsidRDefault="00125710" w:rsidP="00125710">
            <w:pPr>
              <w:pStyle w:val="BodyText"/>
              <w:spacing w:after="240"/>
              <w:rPr>
                <w:rFonts w:eastAsia="Times New Roman"/>
                <w:color w:val="auto"/>
              </w:rPr>
            </w:pPr>
            <w:r w:rsidRPr="00125710">
              <w:rPr>
                <w:rFonts w:eastAsia="Times New Roman"/>
                <w:color w:val="auto"/>
              </w:rPr>
              <w:t>Specially convened panel including</w:t>
            </w:r>
            <w:r>
              <w:rPr>
                <w:rFonts w:eastAsia="Times New Roman"/>
                <w:color w:val="auto"/>
              </w:rPr>
              <w:t xml:space="preserve"> </w:t>
            </w:r>
            <w:r w:rsidRPr="00125710">
              <w:rPr>
                <w:rFonts w:eastAsia="Times New Roman"/>
                <w:color w:val="auto"/>
              </w:rPr>
              <w:t>Chief Nursing Officer, Chief Finance</w:t>
            </w:r>
            <w:r w:rsidR="0016726D">
              <w:rPr>
                <w:rFonts w:eastAsia="Times New Roman"/>
                <w:color w:val="auto"/>
              </w:rPr>
              <w:t xml:space="preserve"> </w:t>
            </w:r>
            <w:r w:rsidRPr="00125710">
              <w:rPr>
                <w:rFonts w:eastAsia="Times New Roman"/>
                <w:color w:val="auto"/>
              </w:rPr>
              <w:t>Officer, Chief Executive</w:t>
            </w:r>
          </w:p>
        </w:tc>
      </w:tr>
    </w:tbl>
    <w:p w14:paraId="4A6C1D9A" w14:textId="77777777" w:rsidR="00125710" w:rsidRDefault="00125710" w:rsidP="0090216D">
      <w:pPr>
        <w:pStyle w:val="BodyText"/>
        <w:rPr>
          <w:rFonts w:eastAsia="Times New Roman"/>
          <w:color w:val="auto"/>
          <w:u w:val="single"/>
        </w:rPr>
      </w:pPr>
    </w:p>
    <w:bookmarkEnd w:id="31"/>
    <w:p w14:paraId="76E8F3BB" w14:textId="77777777" w:rsidR="00823597" w:rsidRPr="00823597" w:rsidRDefault="00823597" w:rsidP="0070678C">
      <w:pPr>
        <w:pStyle w:val="Heading3Numbered"/>
      </w:pPr>
      <w:r w:rsidRPr="00823597">
        <w:t>Care packages must be reviewed on an annual basis and subject to the same authorisation process.</w:t>
      </w:r>
    </w:p>
    <w:p w14:paraId="0DF19275" w14:textId="55DFF90C" w:rsidR="00E76CEF" w:rsidRPr="0074740C" w:rsidRDefault="00A34980" w:rsidP="00E76CEF">
      <w:pPr>
        <w:pStyle w:val="Heading3Numbered"/>
        <w:numPr>
          <w:ilvl w:val="0"/>
          <w:numId w:val="0"/>
        </w:numPr>
        <w:ind w:left="142"/>
        <w:rPr>
          <w:b/>
          <w:bCs/>
        </w:rPr>
      </w:pPr>
      <w:r w:rsidRPr="0074740C">
        <w:rPr>
          <w:b/>
          <w:bCs/>
        </w:rPr>
        <w:t>Non-healthcare procurement – running costs</w:t>
      </w:r>
    </w:p>
    <w:p w14:paraId="7E4B927D" w14:textId="561E0EF3" w:rsidR="00A34980" w:rsidRDefault="00A34980" w:rsidP="0074740C">
      <w:pPr>
        <w:pStyle w:val="Heading3Numbered"/>
        <w:spacing w:after="120"/>
      </w:pPr>
      <w:r w:rsidRPr="002E7730">
        <w:t xml:space="preserve">  The formal authorisation to procure is delegated as follows:</w:t>
      </w:r>
    </w:p>
    <w:tbl>
      <w:tblPr>
        <w:tblStyle w:val="TableGrid"/>
        <w:tblW w:w="8891" w:type="dxa"/>
        <w:tblInd w:w="416" w:type="dxa"/>
        <w:tblLook w:val="04A0" w:firstRow="1" w:lastRow="0" w:firstColumn="1" w:lastColumn="0" w:noHBand="0" w:noVBand="1"/>
      </w:tblPr>
      <w:tblGrid>
        <w:gridCol w:w="4824"/>
        <w:gridCol w:w="1843"/>
        <w:gridCol w:w="2224"/>
      </w:tblGrid>
      <w:tr w:rsidR="00E76CEF" w14:paraId="323E619C" w14:textId="77777777" w:rsidTr="001C168E">
        <w:tc>
          <w:tcPr>
            <w:tcW w:w="4824" w:type="dxa"/>
            <w:tcBorders>
              <w:bottom w:val="single" w:sz="4" w:space="0" w:color="auto"/>
            </w:tcBorders>
          </w:tcPr>
          <w:p w14:paraId="79DAE562" w14:textId="77777777" w:rsidR="00E76CEF" w:rsidRDefault="00E76CEF" w:rsidP="001C168E">
            <w:pPr>
              <w:pStyle w:val="BodyText"/>
              <w:spacing w:after="120" w:line="240" w:lineRule="auto"/>
            </w:pPr>
            <w:r>
              <w:t>Approval level</w:t>
            </w:r>
          </w:p>
        </w:tc>
        <w:tc>
          <w:tcPr>
            <w:tcW w:w="1843" w:type="dxa"/>
            <w:tcBorders>
              <w:bottom w:val="single" w:sz="4" w:space="0" w:color="auto"/>
            </w:tcBorders>
          </w:tcPr>
          <w:p w14:paraId="5D9ED7D0" w14:textId="77777777" w:rsidR="00E76CEF" w:rsidRDefault="00E76CEF" w:rsidP="001C168E">
            <w:pPr>
              <w:pStyle w:val="BodyText"/>
              <w:spacing w:after="120" w:line="240" w:lineRule="auto"/>
              <w:jc w:val="center"/>
            </w:pPr>
            <w:r>
              <w:t>Annual value</w:t>
            </w:r>
          </w:p>
        </w:tc>
        <w:tc>
          <w:tcPr>
            <w:tcW w:w="2224" w:type="dxa"/>
            <w:tcBorders>
              <w:bottom w:val="single" w:sz="4" w:space="0" w:color="auto"/>
            </w:tcBorders>
          </w:tcPr>
          <w:p w14:paraId="31CA201A" w14:textId="77777777" w:rsidR="00E76CEF" w:rsidRDefault="00E76CEF" w:rsidP="001C168E">
            <w:pPr>
              <w:pStyle w:val="BodyText"/>
              <w:spacing w:after="120" w:line="240" w:lineRule="auto"/>
              <w:jc w:val="center"/>
            </w:pPr>
            <w:r>
              <w:t>Total lifecycle value</w:t>
            </w:r>
          </w:p>
        </w:tc>
      </w:tr>
      <w:tr w:rsidR="00E76CEF" w14:paraId="70B08CBB" w14:textId="77777777" w:rsidTr="001C168E">
        <w:tc>
          <w:tcPr>
            <w:tcW w:w="4824" w:type="dxa"/>
            <w:tcBorders>
              <w:top w:val="single" w:sz="4" w:space="0" w:color="auto"/>
            </w:tcBorders>
          </w:tcPr>
          <w:p w14:paraId="1E33612F" w14:textId="6CC5BA87" w:rsidR="00E76CEF" w:rsidRDefault="00E76CEF" w:rsidP="001C168E">
            <w:pPr>
              <w:pStyle w:val="BodyText"/>
              <w:spacing w:after="120" w:line="240" w:lineRule="auto"/>
            </w:pPr>
            <w:r>
              <w:t xml:space="preserve">Deputy </w:t>
            </w:r>
            <w:r w:rsidR="00DF5F56">
              <w:t>Director</w:t>
            </w:r>
          </w:p>
        </w:tc>
        <w:tc>
          <w:tcPr>
            <w:tcW w:w="1843" w:type="dxa"/>
            <w:tcBorders>
              <w:top w:val="single" w:sz="4" w:space="0" w:color="auto"/>
            </w:tcBorders>
          </w:tcPr>
          <w:p w14:paraId="342414CD" w14:textId="7C2A57B7" w:rsidR="00E76CEF" w:rsidRDefault="00E76CEF" w:rsidP="001C168E">
            <w:pPr>
              <w:pStyle w:val="BodyText"/>
              <w:spacing w:after="120" w:line="240" w:lineRule="auto"/>
              <w:jc w:val="center"/>
            </w:pPr>
            <w:r>
              <w:t>£50k</w:t>
            </w:r>
          </w:p>
        </w:tc>
        <w:tc>
          <w:tcPr>
            <w:tcW w:w="2224" w:type="dxa"/>
            <w:tcBorders>
              <w:top w:val="single" w:sz="4" w:space="0" w:color="auto"/>
            </w:tcBorders>
          </w:tcPr>
          <w:p w14:paraId="673ED64F" w14:textId="3D6C8E75" w:rsidR="00E76CEF" w:rsidRDefault="00E76CEF" w:rsidP="001C168E">
            <w:pPr>
              <w:pStyle w:val="BodyText"/>
              <w:spacing w:after="120" w:line="240" w:lineRule="auto"/>
              <w:jc w:val="center"/>
            </w:pPr>
            <w:r>
              <w:t>&lt;£200k</w:t>
            </w:r>
          </w:p>
        </w:tc>
      </w:tr>
      <w:tr w:rsidR="00E76CEF" w14:paraId="009186F6" w14:textId="77777777" w:rsidTr="001C168E">
        <w:tc>
          <w:tcPr>
            <w:tcW w:w="4824" w:type="dxa"/>
          </w:tcPr>
          <w:p w14:paraId="4013E1B0" w14:textId="77777777" w:rsidR="00E76CEF" w:rsidRDefault="00E76CEF" w:rsidP="001C168E">
            <w:pPr>
              <w:pStyle w:val="BodyText"/>
              <w:spacing w:after="120" w:line="240" w:lineRule="auto"/>
            </w:pPr>
            <w:r>
              <w:t>Lead Chief Officer</w:t>
            </w:r>
          </w:p>
        </w:tc>
        <w:tc>
          <w:tcPr>
            <w:tcW w:w="1843" w:type="dxa"/>
          </w:tcPr>
          <w:p w14:paraId="55C5EB3D" w14:textId="00C9ACCA" w:rsidR="00E76CEF" w:rsidRDefault="00E76CEF" w:rsidP="001C168E">
            <w:pPr>
              <w:pStyle w:val="BodyText"/>
              <w:spacing w:after="120" w:line="240" w:lineRule="auto"/>
              <w:jc w:val="center"/>
            </w:pPr>
            <w:r>
              <w:t>&lt;£500k</w:t>
            </w:r>
          </w:p>
        </w:tc>
        <w:tc>
          <w:tcPr>
            <w:tcW w:w="2224" w:type="dxa"/>
          </w:tcPr>
          <w:p w14:paraId="24DE55E2" w14:textId="7FBB0729" w:rsidR="00E76CEF" w:rsidRDefault="00E76CEF" w:rsidP="001C168E">
            <w:pPr>
              <w:pStyle w:val="BodyText"/>
              <w:spacing w:after="120" w:line="240" w:lineRule="auto"/>
              <w:jc w:val="center"/>
            </w:pPr>
            <w:r>
              <w:t>&lt;£2m</w:t>
            </w:r>
          </w:p>
        </w:tc>
      </w:tr>
      <w:tr w:rsidR="00E76CEF" w14:paraId="2549061C" w14:textId="77777777" w:rsidTr="001C168E">
        <w:tc>
          <w:tcPr>
            <w:tcW w:w="4824" w:type="dxa"/>
          </w:tcPr>
          <w:p w14:paraId="69F34642" w14:textId="610A7F60" w:rsidR="00E76CEF" w:rsidRDefault="00E76CEF" w:rsidP="001C168E">
            <w:pPr>
              <w:pStyle w:val="BodyText"/>
              <w:spacing w:after="120" w:line="240" w:lineRule="auto"/>
            </w:pPr>
            <w:r>
              <w:t>Chief Finance Officer</w:t>
            </w:r>
            <w:r w:rsidRPr="0074740C">
              <w:rPr>
                <w:b/>
                <w:bCs/>
              </w:rPr>
              <w:t xml:space="preserve"> </w:t>
            </w:r>
            <w:r w:rsidRPr="0074740C">
              <w:rPr>
                <w:b/>
                <w:bCs/>
                <w:u w:val="single"/>
              </w:rPr>
              <w:t>or</w:t>
            </w:r>
            <w:r>
              <w:t xml:space="preserve"> Chief Executive Officer</w:t>
            </w:r>
          </w:p>
        </w:tc>
        <w:tc>
          <w:tcPr>
            <w:tcW w:w="1843" w:type="dxa"/>
          </w:tcPr>
          <w:p w14:paraId="34DB4957" w14:textId="4F3F12DE" w:rsidR="00E76CEF" w:rsidRDefault="00E76CEF" w:rsidP="001C168E">
            <w:pPr>
              <w:pStyle w:val="BodyText"/>
              <w:spacing w:after="120" w:line="240" w:lineRule="auto"/>
              <w:jc w:val="center"/>
            </w:pPr>
            <w:r>
              <w:t>&lt;£1m</w:t>
            </w:r>
          </w:p>
        </w:tc>
        <w:tc>
          <w:tcPr>
            <w:tcW w:w="2224" w:type="dxa"/>
          </w:tcPr>
          <w:p w14:paraId="5B995B1B" w14:textId="78EA6ABA" w:rsidR="00E76CEF" w:rsidRDefault="00E76CEF" w:rsidP="001C168E">
            <w:pPr>
              <w:pStyle w:val="BodyText"/>
              <w:spacing w:after="120" w:line="240" w:lineRule="auto"/>
              <w:jc w:val="center"/>
            </w:pPr>
            <w:r>
              <w:t>&lt;£4m</w:t>
            </w:r>
          </w:p>
        </w:tc>
      </w:tr>
      <w:tr w:rsidR="00E76CEF" w14:paraId="40397310" w14:textId="77777777" w:rsidTr="001C168E">
        <w:tc>
          <w:tcPr>
            <w:tcW w:w="4824" w:type="dxa"/>
          </w:tcPr>
          <w:p w14:paraId="122FE90F" w14:textId="4AC8C733" w:rsidR="00E76CEF" w:rsidRDefault="00E76CEF" w:rsidP="0074740C">
            <w:pPr>
              <w:pStyle w:val="BodyText"/>
              <w:spacing w:after="120"/>
            </w:pPr>
            <w:r>
              <w:t>ICB Board following oversight by the relevant Board committees with a specific responsibility for the service being contracted.</w:t>
            </w:r>
          </w:p>
        </w:tc>
        <w:tc>
          <w:tcPr>
            <w:tcW w:w="1843" w:type="dxa"/>
          </w:tcPr>
          <w:p w14:paraId="530C8E42" w14:textId="5233273A" w:rsidR="00E76CEF" w:rsidRDefault="00E76CEF" w:rsidP="00E76CEF">
            <w:pPr>
              <w:pStyle w:val="BodyText"/>
              <w:spacing w:after="120" w:line="240" w:lineRule="auto"/>
              <w:jc w:val="center"/>
            </w:pPr>
            <w:r>
              <w:t>&gt;£1m</w:t>
            </w:r>
          </w:p>
        </w:tc>
        <w:tc>
          <w:tcPr>
            <w:tcW w:w="2224" w:type="dxa"/>
          </w:tcPr>
          <w:p w14:paraId="23BA6174" w14:textId="48756A1F" w:rsidR="00E76CEF" w:rsidRDefault="00E76CEF" w:rsidP="00E76CEF">
            <w:pPr>
              <w:pStyle w:val="BodyText"/>
              <w:spacing w:after="120" w:line="240" w:lineRule="auto"/>
              <w:jc w:val="center"/>
            </w:pPr>
            <w:r>
              <w:t>&gt;£4m</w:t>
            </w:r>
          </w:p>
        </w:tc>
      </w:tr>
    </w:tbl>
    <w:p w14:paraId="62989EDD" w14:textId="1006FE93" w:rsidR="00A34980" w:rsidRPr="0074740C" w:rsidRDefault="00A34980" w:rsidP="0070678C">
      <w:pPr>
        <w:pStyle w:val="Heading3Numbered"/>
        <w:numPr>
          <w:ilvl w:val="0"/>
          <w:numId w:val="0"/>
        </w:numPr>
        <w:ind w:left="142"/>
        <w:rPr>
          <w:b/>
          <w:bCs/>
        </w:rPr>
      </w:pPr>
      <w:r w:rsidRPr="0074740C">
        <w:rPr>
          <w:b/>
          <w:bCs/>
        </w:rPr>
        <w:t xml:space="preserve">Non-healthcare procurement – </w:t>
      </w:r>
      <w:r w:rsidR="00D0560D" w:rsidRPr="0074740C">
        <w:rPr>
          <w:b/>
          <w:bCs/>
        </w:rPr>
        <w:t>excluding running costs</w:t>
      </w:r>
    </w:p>
    <w:p w14:paraId="1AE05D69" w14:textId="77777777" w:rsidR="00734D43" w:rsidRPr="00574B74" w:rsidRDefault="00A34980" w:rsidP="0070678C">
      <w:pPr>
        <w:pStyle w:val="Heading3Numbered"/>
      </w:pPr>
      <w:r w:rsidRPr="00574B74">
        <w:t>The formal authorisation to procure is delegated as follows:</w:t>
      </w:r>
      <w:r w:rsidR="00734D43">
        <w:br/>
      </w:r>
    </w:p>
    <w:tbl>
      <w:tblPr>
        <w:tblStyle w:val="TableGrid"/>
        <w:tblW w:w="8891" w:type="dxa"/>
        <w:tblInd w:w="416" w:type="dxa"/>
        <w:tblLook w:val="04A0" w:firstRow="1" w:lastRow="0" w:firstColumn="1" w:lastColumn="0" w:noHBand="0" w:noVBand="1"/>
      </w:tblPr>
      <w:tblGrid>
        <w:gridCol w:w="4824"/>
        <w:gridCol w:w="1843"/>
        <w:gridCol w:w="2224"/>
      </w:tblGrid>
      <w:tr w:rsidR="00734D43" w14:paraId="7D426087" w14:textId="77777777" w:rsidTr="001C168E">
        <w:tc>
          <w:tcPr>
            <w:tcW w:w="4824" w:type="dxa"/>
            <w:tcBorders>
              <w:bottom w:val="single" w:sz="4" w:space="0" w:color="auto"/>
            </w:tcBorders>
          </w:tcPr>
          <w:p w14:paraId="2C6C394C" w14:textId="77777777" w:rsidR="00734D43" w:rsidRDefault="00734D43" w:rsidP="001C168E">
            <w:pPr>
              <w:pStyle w:val="BodyText"/>
              <w:spacing w:after="120" w:line="240" w:lineRule="auto"/>
            </w:pPr>
            <w:r>
              <w:t>Approval level</w:t>
            </w:r>
          </w:p>
        </w:tc>
        <w:tc>
          <w:tcPr>
            <w:tcW w:w="1843" w:type="dxa"/>
            <w:tcBorders>
              <w:bottom w:val="single" w:sz="4" w:space="0" w:color="auto"/>
            </w:tcBorders>
          </w:tcPr>
          <w:p w14:paraId="4EDEDC45" w14:textId="77777777" w:rsidR="00734D43" w:rsidRDefault="00734D43" w:rsidP="001C168E">
            <w:pPr>
              <w:pStyle w:val="BodyText"/>
              <w:spacing w:after="120" w:line="240" w:lineRule="auto"/>
              <w:jc w:val="center"/>
            </w:pPr>
            <w:r>
              <w:t>Annual value</w:t>
            </w:r>
          </w:p>
        </w:tc>
        <w:tc>
          <w:tcPr>
            <w:tcW w:w="2224" w:type="dxa"/>
            <w:tcBorders>
              <w:bottom w:val="single" w:sz="4" w:space="0" w:color="auto"/>
            </w:tcBorders>
          </w:tcPr>
          <w:p w14:paraId="56B51DBB" w14:textId="77777777" w:rsidR="00734D43" w:rsidRDefault="00734D43" w:rsidP="001C168E">
            <w:pPr>
              <w:pStyle w:val="BodyText"/>
              <w:spacing w:after="120" w:line="240" w:lineRule="auto"/>
              <w:jc w:val="center"/>
            </w:pPr>
            <w:r>
              <w:t>Total lifecycle value</w:t>
            </w:r>
          </w:p>
        </w:tc>
      </w:tr>
      <w:tr w:rsidR="00734D43" w14:paraId="4E59D7A0" w14:textId="77777777" w:rsidTr="001C168E">
        <w:tc>
          <w:tcPr>
            <w:tcW w:w="4824" w:type="dxa"/>
            <w:tcBorders>
              <w:top w:val="single" w:sz="4" w:space="0" w:color="auto"/>
            </w:tcBorders>
          </w:tcPr>
          <w:p w14:paraId="767E13D3" w14:textId="6BBADB3A" w:rsidR="00734D43" w:rsidRDefault="00734D43" w:rsidP="001C168E">
            <w:pPr>
              <w:pStyle w:val="BodyText"/>
              <w:spacing w:after="120" w:line="240" w:lineRule="auto"/>
            </w:pPr>
            <w:r>
              <w:t xml:space="preserve">Deputy </w:t>
            </w:r>
            <w:r w:rsidR="00DF5F56">
              <w:t>Director</w:t>
            </w:r>
          </w:p>
        </w:tc>
        <w:tc>
          <w:tcPr>
            <w:tcW w:w="1843" w:type="dxa"/>
            <w:tcBorders>
              <w:top w:val="single" w:sz="4" w:space="0" w:color="auto"/>
            </w:tcBorders>
          </w:tcPr>
          <w:p w14:paraId="5DCB7E5C" w14:textId="77777777" w:rsidR="00734D43" w:rsidRDefault="00734D43" w:rsidP="001C168E">
            <w:pPr>
              <w:pStyle w:val="BodyText"/>
              <w:spacing w:after="120" w:line="240" w:lineRule="auto"/>
              <w:jc w:val="center"/>
            </w:pPr>
            <w:r>
              <w:t>£100k</w:t>
            </w:r>
          </w:p>
        </w:tc>
        <w:tc>
          <w:tcPr>
            <w:tcW w:w="2224" w:type="dxa"/>
            <w:tcBorders>
              <w:top w:val="single" w:sz="4" w:space="0" w:color="auto"/>
            </w:tcBorders>
          </w:tcPr>
          <w:p w14:paraId="62BB813C" w14:textId="77777777" w:rsidR="00734D43" w:rsidRDefault="00734D43" w:rsidP="001C168E">
            <w:pPr>
              <w:pStyle w:val="BodyText"/>
              <w:spacing w:after="120" w:line="240" w:lineRule="auto"/>
              <w:jc w:val="center"/>
            </w:pPr>
            <w:r>
              <w:t>&lt;£400k</w:t>
            </w:r>
          </w:p>
        </w:tc>
      </w:tr>
      <w:tr w:rsidR="00734D43" w14:paraId="74873E17" w14:textId="77777777" w:rsidTr="001C168E">
        <w:tc>
          <w:tcPr>
            <w:tcW w:w="4824" w:type="dxa"/>
          </w:tcPr>
          <w:p w14:paraId="67B2067D" w14:textId="77777777" w:rsidR="00734D43" w:rsidRDefault="00734D43" w:rsidP="001C168E">
            <w:pPr>
              <w:pStyle w:val="BodyText"/>
              <w:spacing w:after="120" w:line="240" w:lineRule="auto"/>
            </w:pPr>
            <w:r>
              <w:t>Lead Chief Officer</w:t>
            </w:r>
          </w:p>
        </w:tc>
        <w:tc>
          <w:tcPr>
            <w:tcW w:w="1843" w:type="dxa"/>
          </w:tcPr>
          <w:p w14:paraId="33AFE2CC" w14:textId="77777777" w:rsidR="00734D43" w:rsidRDefault="00734D43" w:rsidP="001C168E">
            <w:pPr>
              <w:pStyle w:val="BodyText"/>
              <w:spacing w:after="120" w:line="240" w:lineRule="auto"/>
              <w:jc w:val="center"/>
            </w:pPr>
            <w:r>
              <w:t>&lt;£1m</w:t>
            </w:r>
          </w:p>
        </w:tc>
        <w:tc>
          <w:tcPr>
            <w:tcW w:w="2224" w:type="dxa"/>
          </w:tcPr>
          <w:p w14:paraId="7D9C6979" w14:textId="77777777" w:rsidR="00734D43" w:rsidRDefault="00734D43" w:rsidP="001C168E">
            <w:pPr>
              <w:pStyle w:val="BodyText"/>
              <w:spacing w:after="120" w:line="240" w:lineRule="auto"/>
              <w:jc w:val="center"/>
            </w:pPr>
            <w:r>
              <w:t>&lt;£4m</w:t>
            </w:r>
          </w:p>
        </w:tc>
      </w:tr>
      <w:tr w:rsidR="00734D43" w14:paraId="54E024F8" w14:textId="77777777" w:rsidTr="001C168E">
        <w:tc>
          <w:tcPr>
            <w:tcW w:w="4824" w:type="dxa"/>
          </w:tcPr>
          <w:p w14:paraId="0365F15E" w14:textId="440F34C8" w:rsidR="00734D43" w:rsidRDefault="00734D43" w:rsidP="001C168E">
            <w:pPr>
              <w:pStyle w:val="BodyText"/>
              <w:spacing w:after="120" w:line="240" w:lineRule="auto"/>
            </w:pPr>
            <w:r>
              <w:t xml:space="preserve">Chief Finance Officer </w:t>
            </w:r>
            <w:r w:rsidRPr="001C168E">
              <w:rPr>
                <w:b/>
                <w:bCs/>
                <w:u w:val="single"/>
              </w:rPr>
              <w:t>or</w:t>
            </w:r>
            <w:r>
              <w:t xml:space="preserve"> Chief Executive Officer</w:t>
            </w:r>
          </w:p>
        </w:tc>
        <w:tc>
          <w:tcPr>
            <w:tcW w:w="1843" w:type="dxa"/>
          </w:tcPr>
          <w:p w14:paraId="78E9641C" w14:textId="77777777" w:rsidR="00734D43" w:rsidRDefault="00734D43" w:rsidP="001C168E">
            <w:pPr>
              <w:pStyle w:val="BodyText"/>
              <w:spacing w:after="120" w:line="240" w:lineRule="auto"/>
              <w:jc w:val="center"/>
            </w:pPr>
            <w:r>
              <w:t>&lt;£5m</w:t>
            </w:r>
          </w:p>
        </w:tc>
        <w:tc>
          <w:tcPr>
            <w:tcW w:w="2224" w:type="dxa"/>
          </w:tcPr>
          <w:p w14:paraId="2CB27285" w14:textId="77777777" w:rsidR="00734D43" w:rsidRDefault="00734D43" w:rsidP="001C168E">
            <w:pPr>
              <w:pStyle w:val="BodyText"/>
              <w:spacing w:after="120" w:line="240" w:lineRule="auto"/>
              <w:jc w:val="center"/>
            </w:pPr>
            <w:r>
              <w:t>&lt;£20m</w:t>
            </w:r>
          </w:p>
        </w:tc>
      </w:tr>
      <w:tr w:rsidR="00734D43" w14:paraId="29F7486A" w14:textId="77777777" w:rsidTr="001C168E">
        <w:tc>
          <w:tcPr>
            <w:tcW w:w="4824" w:type="dxa"/>
          </w:tcPr>
          <w:p w14:paraId="35F710F7" w14:textId="77777777" w:rsidR="00734D43" w:rsidRDefault="00734D43" w:rsidP="001C168E">
            <w:pPr>
              <w:pStyle w:val="BodyText"/>
              <w:spacing w:after="120" w:line="240" w:lineRule="auto"/>
            </w:pPr>
            <w:r>
              <w:t>ICB Board following oversight by the relevant Board committees with a specific responsibility for the service being contracted.</w:t>
            </w:r>
          </w:p>
        </w:tc>
        <w:tc>
          <w:tcPr>
            <w:tcW w:w="1843" w:type="dxa"/>
          </w:tcPr>
          <w:p w14:paraId="6252A986" w14:textId="77777777" w:rsidR="00734D43" w:rsidRDefault="00734D43" w:rsidP="001C168E">
            <w:pPr>
              <w:pStyle w:val="BodyText"/>
              <w:spacing w:after="120" w:line="240" w:lineRule="auto"/>
              <w:jc w:val="center"/>
            </w:pPr>
            <w:r>
              <w:t>&gt;£5m</w:t>
            </w:r>
          </w:p>
        </w:tc>
        <w:tc>
          <w:tcPr>
            <w:tcW w:w="2224" w:type="dxa"/>
          </w:tcPr>
          <w:p w14:paraId="183E52B2" w14:textId="77777777" w:rsidR="00734D43" w:rsidRDefault="00734D43" w:rsidP="001C168E">
            <w:pPr>
              <w:pStyle w:val="BodyText"/>
              <w:spacing w:after="120" w:line="240" w:lineRule="auto"/>
              <w:jc w:val="center"/>
            </w:pPr>
            <w:r>
              <w:t>&gt;£20m</w:t>
            </w:r>
          </w:p>
        </w:tc>
      </w:tr>
    </w:tbl>
    <w:p w14:paraId="7FD13B2B" w14:textId="7D56489F" w:rsidR="00A34980" w:rsidRDefault="00A34980" w:rsidP="00171ABE">
      <w:pPr>
        <w:pStyle w:val="Heading2Numbered"/>
        <w:spacing w:before="360"/>
        <w:ind w:left="0"/>
      </w:pPr>
      <w:bookmarkStart w:id="32" w:name="_Toc230249774"/>
      <w:r>
        <w:t>Route to procurement</w:t>
      </w:r>
      <w:bookmarkEnd w:id="32"/>
    </w:p>
    <w:p w14:paraId="03FF03AA" w14:textId="2E948AC0" w:rsidR="00A02D68" w:rsidRPr="00574B74" w:rsidRDefault="00A34980" w:rsidP="00BB6325">
      <w:pPr>
        <w:pStyle w:val="Heading3Numbered"/>
      </w:pPr>
      <w:r w:rsidRPr="00574B74">
        <w:t xml:space="preserve">The </w:t>
      </w:r>
      <w:r w:rsidR="00A02D68" w:rsidRPr="00574B74">
        <w:t>ICB</w:t>
      </w:r>
      <w:r w:rsidR="00FB10AE">
        <w:t>s’</w:t>
      </w:r>
      <w:r w:rsidR="006C7EF1">
        <w:t xml:space="preserve"> procure</w:t>
      </w:r>
      <w:r w:rsidR="006C7EF1" w:rsidRPr="00262514">
        <w:t>ment polic</w:t>
      </w:r>
      <w:r w:rsidR="00262514" w:rsidRPr="00262514">
        <w:t>ies</w:t>
      </w:r>
      <w:r w:rsidR="00EF139A" w:rsidRPr="00262514">
        <w:t xml:space="preserve"> </w:t>
      </w:r>
      <w:r w:rsidR="004432A2" w:rsidRPr="00262514">
        <w:t xml:space="preserve">associated procurement procedures </w:t>
      </w:r>
      <w:r w:rsidR="008C239D" w:rsidRPr="00262514">
        <w:t>available on the intranet</w:t>
      </w:r>
      <w:r w:rsidR="00EF139A" w:rsidRPr="00262514">
        <w:t xml:space="preserve"> </w:t>
      </w:r>
      <w:r w:rsidR="00A02D68" w:rsidRPr="00574B74">
        <w:t xml:space="preserve">set out the </w:t>
      </w:r>
      <w:r w:rsidRPr="00574B74">
        <w:t>route to procurement</w:t>
      </w:r>
      <w:r w:rsidR="00A02D68" w:rsidRPr="00574B74">
        <w:t xml:space="preserve"> in line with current legislation and regulations.  The delivery of all healthcare and goods and services, including transformation and pilot schemes, will be contracted through the following routes;</w:t>
      </w:r>
    </w:p>
    <w:p w14:paraId="38569FBF" w14:textId="343B3F0A" w:rsidR="00A02D68" w:rsidRPr="00574B74" w:rsidRDefault="00A02D68" w:rsidP="0074740C">
      <w:pPr>
        <w:pStyle w:val="BodyText"/>
        <w:numPr>
          <w:ilvl w:val="0"/>
          <w:numId w:val="70"/>
        </w:numPr>
        <w:spacing w:after="120"/>
        <w:ind w:left="992" w:hanging="357"/>
        <w:rPr>
          <w:color w:val="auto"/>
        </w:rPr>
      </w:pPr>
      <w:r w:rsidRPr="00574B74">
        <w:rPr>
          <w:color w:val="auto"/>
        </w:rPr>
        <w:t>Quotations:  Competitive and non-competitive (8.4)</w:t>
      </w:r>
    </w:p>
    <w:p w14:paraId="03F94A9A" w14:textId="430E8979" w:rsidR="00A02D68" w:rsidRPr="00574B74" w:rsidRDefault="00A02D68" w:rsidP="0074740C">
      <w:pPr>
        <w:pStyle w:val="BodyText"/>
        <w:numPr>
          <w:ilvl w:val="0"/>
          <w:numId w:val="70"/>
        </w:numPr>
        <w:spacing w:after="120"/>
        <w:ind w:left="992" w:hanging="357"/>
        <w:rPr>
          <w:color w:val="auto"/>
        </w:rPr>
      </w:pPr>
      <w:r w:rsidRPr="00574B74">
        <w:rPr>
          <w:color w:val="auto"/>
        </w:rPr>
        <w:t>Competitive tendering (8.5)</w:t>
      </w:r>
    </w:p>
    <w:p w14:paraId="7C7AF23D" w14:textId="2087DEB0" w:rsidR="00A02D68" w:rsidRPr="00574B74" w:rsidRDefault="00A02D68" w:rsidP="0074740C">
      <w:pPr>
        <w:pStyle w:val="BodyText"/>
        <w:numPr>
          <w:ilvl w:val="0"/>
          <w:numId w:val="70"/>
        </w:numPr>
        <w:spacing w:after="120"/>
        <w:ind w:left="992" w:hanging="357"/>
        <w:rPr>
          <w:color w:val="auto"/>
        </w:rPr>
      </w:pPr>
      <w:r w:rsidRPr="00574B74">
        <w:rPr>
          <w:color w:val="auto"/>
        </w:rPr>
        <w:lastRenderedPageBreak/>
        <w:t>By exception, waiving of quotations and competitive tendering (8.6)</w:t>
      </w:r>
      <w:r w:rsidR="003F76DC">
        <w:rPr>
          <w:color w:val="auto"/>
        </w:rPr>
        <w:t xml:space="preserve"> including undertaking a non-compliant procurement process (8.5.6)</w:t>
      </w:r>
    </w:p>
    <w:p w14:paraId="40B7D6EA" w14:textId="77777777" w:rsidR="00AE7F87" w:rsidRPr="002A6450" w:rsidRDefault="00AE7F87" w:rsidP="00574B74">
      <w:pPr>
        <w:pStyle w:val="Heading2Numbered"/>
        <w:spacing w:before="360"/>
        <w:ind w:left="0"/>
        <w:rPr>
          <w:color w:val="002060"/>
        </w:rPr>
      </w:pPr>
      <w:bookmarkStart w:id="33" w:name="_Toc230249775"/>
      <w:r w:rsidRPr="002A6450">
        <w:rPr>
          <w:color w:val="002060"/>
        </w:rPr>
        <w:t>Quotations: Competitive and non-competitive</w:t>
      </w:r>
      <w:bookmarkEnd w:id="33"/>
      <w:r w:rsidRPr="002A6450">
        <w:rPr>
          <w:color w:val="002060"/>
        </w:rPr>
        <w:t xml:space="preserve">  </w:t>
      </w:r>
    </w:p>
    <w:p w14:paraId="3892E54D" w14:textId="6B2B78FB" w:rsidR="00C17C0E" w:rsidRPr="003F76DC" w:rsidRDefault="003F76DC" w:rsidP="003F76DC">
      <w:pPr>
        <w:pStyle w:val="Heading3Numbered"/>
        <w:ind w:left="568" w:hanging="568"/>
        <w:rPr>
          <w:b/>
          <w:bCs/>
        </w:rPr>
      </w:pPr>
      <w:r w:rsidRPr="003F76DC">
        <w:t xml:space="preserve">For </w:t>
      </w:r>
      <w:r w:rsidRPr="003F76DC">
        <w:rPr>
          <w:b/>
          <w:bCs/>
        </w:rPr>
        <w:t>Healthcare</w:t>
      </w:r>
      <w:r w:rsidRPr="003F76DC">
        <w:t xml:space="preserve"> the Provider Selection Regime </w:t>
      </w:r>
      <w:r w:rsidRPr="003F76DC">
        <w:rPr>
          <w:b/>
          <w:bCs/>
        </w:rPr>
        <w:t>does not</w:t>
      </w:r>
      <w:r w:rsidRPr="003F76DC">
        <w:t xml:space="preserve"> have a financial threshold and therefore when securing healthcare services formal tendering procedures are to be adopted.  The ICB recognises the need to be proportionate when securing healthcare services and therefore when not following the Provider Selection Regimes legislated processes, all non-compliant requests </w:t>
      </w:r>
      <w:r w:rsidRPr="003F76DC">
        <w:rPr>
          <w:b/>
          <w:bCs/>
        </w:rPr>
        <w:t>must</w:t>
      </w:r>
      <w:r w:rsidRPr="003F76DC">
        <w:t xml:space="preserve"> be reviewed by the</w:t>
      </w:r>
      <w:r w:rsidR="00B55C17">
        <w:t xml:space="preserve"> Director of Strategic Commissioning and the relevant senior procurement lead</w:t>
      </w:r>
      <w:r w:rsidRPr="003F76DC">
        <w:t xml:space="preserve"> accompanied by a non-compliant request form and a completed procurement complexity framework which is located on the intranet.</w:t>
      </w:r>
    </w:p>
    <w:p w14:paraId="67BCA699" w14:textId="7DCD34EF" w:rsidR="00AE7F87" w:rsidRPr="00AE7F87" w:rsidRDefault="00C17C0E" w:rsidP="00BB6325">
      <w:pPr>
        <w:pStyle w:val="Heading3Numbered"/>
      </w:pPr>
      <w:r w:rsidRPr="00FC02FE">
        <w:t xml:space="preserve">For </w:t>
      </w:r>
      <w:r w:rsidRPr="00FC02FE">
        <w:rPr>
          <w:b/>
          <w:bCs/>
        </w:rPr>
        <w:t>non</w:t>
      </w:r>
      <w:r w:rsidR="004674E6">
        <w:rPr>
          <w:b/>
          <w:bCs/>
        </w:rPr>
        <w:t>-</w:t>
      </w:r>
      <w:r w:rsidRPr="00FC02FE">
        <w:rPr>
          <w:b/>
          <w:bCs/>
        </w:rPr>
        <w:t>healthcare</w:t>
      </w:r>
      <w:r w:rsidRPr="00FC02FE">
        <w:t xml:space="preserve"> </w:t>
      </w:r>
      <w:r>
        <w:t>q</w:t>
      </w:r>
      <w:r w:rsidR="00AE7F87" w:rsidRPr="00AE7F87">
        <w:t xml:space="preserve">uotations are required where formal tendering procedures are not adopted and where the intended expenditure or income </w:t>
      </w:r>
      <w:r w:rsidR="00572AFD" w:rsidRPr="00AE7F87">
        <w:t>exceeds or</w:t>
      </w:r>
      <w:r w:rsidR="00AE7F87" w:rsidRPr="00AE7F87">
        <w:t xml:space="preserve"> is reasonably expected to exceed £5k but not exceed</w:t>
      </w:r>
      <w:r>
        <w:t xml:space="preserve"> the</w:t>
      </w:r>
      <w:r w:rsidRPr="00C17C0E">
        <w:rPr>
          <w:color w:val="FF0000"/>
        </w:rPr>
        <w:t xml:space="preserve"> </w:t>
      </w:r>
      <w:r w:rsidRPr="00FC02FE">
        <w:t xml:space="preserve">Public Contract Regulation threshold level </w:t>
      </w:r>
      <w:r w:rsidR="00AE7F87" w:rsidRPr="00FC02FE">
        <w:t xml:space="preserve">over </w:t>
      </w:r>
      <w:r w:rsidR="00AE7F87" w:rsidRPr="00AE7F87">
        <w:t xml:space="preserve">the </w:t>
      </w:r>
      <w:r w:rsidR="00AE7F87" w:rsidRPr="00304003">
        <w:rPr>
          <w:b/>
          <w:bCs/>
        </w:rPr>
        <w:t>lifetime of the contract</w:t>
      </w:r>
      <w:r w:rsidR="00AE7F87" w:rsidRPr="00AE7F87">
        <w:t>.</w:t>
      </w:r>
    </w:p>
    <w:p w14:paraId="4B502262" w14:textId="77777777" w:rsidR="00AE7F87" w:rsidRPr="00AE7F87" w:rsidRDefault="00AE7F87" w:rsidP="00BB6325">
      <w:pPr>
        <w:pStyle w:val="Heading3Numbered"/>
      </w:pPr>
      <w:r w:rsidRPr="00AE7F87">
        <w:t xml:space="preserve">Competitive Quotations  </w:t>
      </w:r>
      <w:r w:rsidRPr="00AE7F87">
        <w:tab/>
      </w:r>
    </w:p>
    <w:p w14:paraId="5C43EB88" w14:textId="77777777" w:rsidR="00AE7F87" w:rsidRPr="00AE7F87" w:rsidRDefault="00AE7F87" w:rsidP="0074740C">
      <w:pPr>
        <w:pStyle w:val="BodyTextNoSpacing"/>
        <w:numPr>
          <w:ilvl w:val="0"/>
          <w:numId w:val="34"/>
        </w:numPr>
        <w:spacing w:before="120" w:after="240" w:line="240" w:lineRule="auto"/>
        <w:ind w:left="714" w:hanging="357"/>
        <w:rPr>
          <w:color w:val="auto"/>
        </w:rPr>
      </w:pPr>
      <w:r w:rsidRPr="00AE7F87">
        <w:rPr>
          <w:color w:val="auto"/>
        </w:rPr>
        <w:t>Quotations should be obtained from at least 3 firms/individuals based on specifications or terms of reference prepared by, or on behalf of, the ICB;</w:t>
      </w:r>
      <w:r w:rsidRPr="00AE7F87">
        <w:rPr>
          <w:color w:val="auto"/>
        </w:rPr>
        <w:tab/>
      </w:r>
    </w:p>
    <w:p w14:paraId="34AFA9C2" w14:textId="4D3E11A6" w:rsidR="00AE7F87" w:rsidRPr="00AE7F87" w:rsidRDefault="00AE7F87" w:rsidP="0074740C">
      <w:pPr>
        <w:pStyle w:val="BodyTextNoSpacing"/>
        <w:numPr>
          <w:ilvl w:val="0"/>
          <w:numId w:val="34"/>
        </w:numPr>
        <w:spacing w:before="120" w:after="240" w:line="240" w:lineRule="auto"/>
        <w:ind w:left="714" w:hanging="357"/>
        <w:rPr>
          <w:color w:val="auto"/>
        </w:rPr>
      </w:pPr>
      <w:r w:rsidRPr="00AE7F87">
        <w:rPr>
          <w:color w:val="auto"/>
        </w:rPr>
        <w:t>Quotations should be in writing</w:t>
      </w:r>
      <w:r w:rsidR="00EF139A">
        <w:rPr>
          <w:color w:val="auto"/>
        </w:rPr>
        <w:t>;</w:t>
      </w:r>
    </w:p>
    <w:p w14:paraId="521039CA" w14:textId="50A02A3E" w:rsidR="00AE7F87" w:rsidRPr="00AE7F87" w:rsidRDefault="00AE7F87" w:rsidP="0074740C">
      <w:pPr>
        <w:pStyle w:val="BodyTextNoSpacing"/>
        <w:numPr>
          <w:ilvl w:val="0"/>
          <w:numId w:val="34"/>
        </w:numPr>
        <w:spacing w:before="120" w:after="240" w:line="240" w:lineRule="auto"/>
        <w:ind w:left="714" w:hanging="357"/>
        <w:rPr>
          <w:color w:val="auto"/>
        </w:rPr>
      </w:pPr>
      <w:r w:rsidRPr="00AE7F87">
        <w:rPr>
          <w:color w:val="auto"/>
        </w:rPr>
        <w:t>All quotations should be treated as confidential</w:t>
      </w:r>
      <w:r w:rsidR="00B52694">
        <w:rPr>
          <w:color w:val="auto"/>
        </w:rPr>
        <w:t xml:space="preserve">, </w:t>
      </w:r>
      <w:r w:rsidRPr="00AE7F87">
        <w:rPr>
          <w:color w:val="auto"/>
        </w:rPr>
        <w:t>should be retained for inspection</w:t>
      </w:r>
      <w:r w:rsidR="00C17C0E">
        <w:rPr>
          <w:color w:val="auto"/>
        </w:rPr>
        <w:t xml:space="preserve"> </w:t>
      </w:r>
      <w:r w:rsidR="00C17C0E" w:rsidRPr="00FC02FE">
        <w:rPr>
          <w:color w:val="auto"/>
        </w:rPr>
        <w:t xml:space="preserve">and </w:t>
      </w:r>
      <w:r w:rsidR="00B52694" w:rsidRPr="00FC02FE">
        <w:rPr>
          <w:color w:val="auto"/>
        </w:rPr>
        <w:t>used to populate</w:t>
      </w:r>
      <w:r w:rsidR="00C17C0E" w:rsidRPr="00FC02FE">
        <w:rPr>
          <w:color w:val="auto"/>
        </w:rPr>
        <w:t xml:space="preserve"> the contract register (see </w:t>
      </w:r>
      <w:r w:rsidR="00304003" w:rsidRPr="00FC02FE">
        <w:rPr>
          <w:color w:val="auto"/>
        </w:rPr>
        <w:t>section 8.10.2)</w:t>
      </w:r>
      <w:r w:rsidR="00EF139A" w:rsidRPr="00FC02FE">
        <w:rPr>
          <w:color w:val="auto"/>
        </w:rPr>
        <w:t>;</w:t>
      </w:r>
      <w:r w:rsidRPr="00FC02FE">
        <w:rPr>
          <w:color w:val="auto"/>
        </w:rPr>
        <w:t xml:space="preserve"> </w:t>
      </w:r>
    </w:p>
    <w:p w14:paraId="5385CAB4" w14:textId="0EA56F05" w:rsidR="00AE7F87" w:rsidRDefault="00AE7F87" w:rsidP="0074740C">
      <w:pPr>
        <w:pStyle w:val="BodyTextNoSpacing"/>
        <w:numPr>
          <w:ilvl w:val="0"/>
          <w:numId w:val="34"/>
        </w:numPr>
        <w:spacing w:before="120" w:after="240" w:line="240" w:lineRule="auto"/>
        <w:ind w:left="714" w:hanging="357"/>
        <w:rPr>
          <w:color w:val="auto"/>
        </w:rPr>
      </w:pPr>
      <w:r w:rsidRPr="00574B74">
        <w:rPr>
          <w:color w:val="auto"/>
        </w:rPr>
        <w:t>Those with delegated authority should evaluate the quotation and select the quote which gives the best value for money.  If this is not the lowest quotation for a payment made by the ICB, or the highest for a payment received by the ICB, then the choice made and the reasons why should be recorded in a permanent record.</w:t>
      </w:r>
    </w:p>
    <w:p w14:paraId="00E1014D" w14:textId="6A427445" w:rsidR="00C17C0E" w:rsidRPr="00FC02FE" w:rsidRDefault="00B52694" w:rsidP="0074740C">
      <w:pPr>
        <w:pStyle w:val="BodyTextNoSpacing"/>
        <w:numPr>
          <w:ilvl w:val="0"/>
          <w:numId w:val="34"/>
        </w:numPr>
        <w:spacing w:before="120" w:after="240" w:line="240" w:lineRule="auto"/>
        <w:ind w:left="714" w:hanging="357"/>
        <w:rPr>
          <w:color w:val="auto"/>
        </w:rPr>
      </w:pPr>
      <w:r w:rsidRPr="00FC02FE">
        <w:rPr>
          <w:color w:val="auto"/>
        </w:rPr>
        <w:t xml:space="preserve">For </w:t>
      </w:r>
      <w:r w:rsidRPr="00FC02FE">
        <w:rPr>
          <w:b/>
          <w:bCs/>
          <w:color w:val="auto"/>
        </w:rPr>
        <w:t>non-healthcare</w:t>
      </w:r>
      <w:r w:rsidR="00C17C0E" w:rsidRPr="00FC02FE">
        <w:rPr>
          <w:b/>
          <w:bCs/>
          <w:color w:val="auto"/>
        </w:rPr>
        <w:t xml:space="preserve"> quotations</w:t>
      </w:r>
      <w:r w:rsidR="00C17C0E" w:rsidRPr="00FC02FE">
        <w:rPr>
          <w:color w:val="auto"/>
        </w:rPr>
        <w:t xml:space="preserve"> </w:t>
      </w:r>
      <w:r w:rsidR="00304003" w:rsidRPr="00FC02FE">
        <w:rPr>
          <w:color w:val="auto"/>
        </w:rPr>
        <w:t xml:space="preserve">the </w:t>
      </w:r>
      <w:r w:rsidRPr="00FC02FE">
        <w:rPr>
          <w:color w:val="auto"/>
        </w:rPr>
        <w:t xml:space="preserve">competitive quotations should be used to raise a </w:t>
      </w:r>
      <w:r w:rsidR="00304003" w:rsidRPr="00FC02FE">
        <w:rPr>
          <w:color w:val="auto"/>
        </w:rPr>
        <w:t xml:space="preserve">procurement order </w:t>
      </w:r>
      <w:r w:rsidRPr="00FC02FE">
        <w:rPr>
          <w:color w:val="auto"/>
        </w:rPr>
        <w:t xml:space="preserve">through </w:t>
      </w:r>
      <w:r w:rsidR="00C17C0E" w:rsidRPr="00FC02FE">
        <w:rPr>
          <w:color w:val="auto"/>
        </w:rPr>
        <w:t xml:space="preserve">the </w:t>
      </w:r>
      <w:r w:rsidR="00304003" w:rsidRPr="00FC02FE">
        <w:rPr>
          <w:color w:val="auto"/>
        </w:rPr>
        <w:t>financial system</w:t>
      </w:r>
      <w:r w:rsidRPr="00FC02FE">
        <w:rPr>
          <w:color w:val="auto"/>
        </w:rPr>
        <w:t>.</w:t>
      </w:r>
    </w:p>
    <w:p w14:paraId="202F4337" w14:textId="253B44CE" w:rsidR="00AE7F87" w:rsidRPr="00AE7F87" w:rsidRDefault="00AE7F87" w:rsidP="00BB6325">
      <w:pPr>
        <w:pStyle w:val="Heading3Numbered"/>
      </w:pPr>
      <w:r w:rsidRPr="00574B74">
        <w:t xml:space="preserve">No quotation shall be accepted which will commit expenditure </w:t>
      </w:r>
      <w:proofErr w:type="gramStart"/>
      <w:r w:rsidRPr="00574B74">
        <w:t>in excess of</w:t>
      </w:r>
      <w:proofErr w:type="gramEnd"/>
      <w:r w:rsidRPr="00574B74">
        <w:t xml:space="preserve"> that which has been allocated by the ICB (8.2) and which is not in accordance with Standing Financial Instructions except with the authorisation of either </w:t>
      </w:r>
      <w:r w:rsidRPr="00AE7F87">
        <w:t>the Chief Executive Officer or Chief Finance Officer</w:t>
      </w:r>
      <w:r w:rsidR="00EF139A">
        <w:t>.</w:t>
      </w:r>
    </w:p>
    <w:p w14:paraId="66A52393" w14:textId="77777777" w:rsidR="00574B74" w:rsidRPr="00AE7F87" w:rsidRDefault="00574B74" w:rsidP="00BB6325">
      <w:pPr>
        <w:pStyle w:val="Heading3Numbered"/>
      </w:pPr>
      <w:r w:rsidRPr="00AE7F87">
        <w:t xml:space="preserve">Non-Competitive Quotations </w:t>
      </w:r>
    </w:p>
    <w:p w14:paraId="6852BEFA" w14:textId="77777777" w:rsidR="00574B74" w:rsidRPr="00AE7F87" w:rsidRDefault="00574B74" w:rsidP="00574B74">
      <w:pPr>
        <w:pStyle w:val="BodyTextNoSpacing"/>
        <w:rPr>
          <w:color w:val="auto"/>
        </w:rPr>
      </w:pPr>
      <w:r w:rsidRPr="00AE7F87">
        <w:rPr>
          <w:color w:val="auto"/>
        </w:rPr>
        <w:t xml:space="preserve">Non-competitive quotations in writing may be obtained in the following circumstances: </w:t>
      </w:r>
    </w:p>
    <w:p w14:paraId="49757155" w14:textId="77777777" w:rsidR="00574B74" w:rsidRPr="00AE7F87" w:rsidRDefault="00574B74" w:rsidP="0074740C">
      <w:pPr>
        <w:pStyle w:val="BodyTextNoSpacing"/>
        <w:numPr>
          <w:ilvl w:val="0"/>
          <w:numId w:val="35"/>
        </w:numPr>
        <w:spacing w:before="120" w:after="240" w:line="240" w:lineRule="auto"/>
        <w:rPr>
          <w:color w:val="auto"/>
        </w:rPr>
      </w:pPr>
      <w:r w:rsidRPr="00AE7F87">
        <w:rPr>
          <w:color w:val="auto"/>
        </w:rPr>
        <w:t xml:space="preserve">the supply of proprietary or other goods of a special character and the rendering of services of a special character, for which it is not, in the opinion </w:t>
      </w:r>
      <w:r w:rsidRPr="00AE7F87">
        <w:rPr>
          <w:color w:val="auto"/>
        </w:rPr>
        <w:lastRenderedPageBreak/>
        <w:t>of the Responsible Officer, possible or desirable to obtain competitive quotations;</w:t>
      </w:r>
    </w:p>
    <w:p w14:paraId="3989B507" w14:textId="77777777" w:rsidR="00574B74" w:rsidRDefault="00574B74" w:rsidP="0074740C">
      <w:pPr>
        <w:pStyle w:val="BodyTextNoSpacing"/>
        <w:numPr>
          <w:ilvl w:val="0"/>
          <w:numId w:val="35"/>
        </w:numPr>
        <w:spacing w:before="120" w:after="240" w:line="240" w:lineRule="auto"/>
        <w:rPr>
          <w:color w:val="auto"/>
        </w:rPr>
      </w:pPr>
      <w:r w:rsidRPr="00AE7F87">
        <w:rPr>
          <w:color w:val="auto"/>
        </w:rPr>
        <w:t>the supply of goods or manufactured articles of any kind which are required quickly and are not obtainable under existing contracts;</w:t>
      </w:r>
    </w:p>
    <w:p w14:paraId="72F29DA3" w14:textId="0998EE5A" w:rsidR="00574B74" w:rsidRPr="00574B74" w:rsidRDefault="00574B74" w:rsidP="0074740C">
      <w:pPr>
        <w:pStyle w:val="BodyTextNoSpacing"/>
        <w:numPr>
          <w:ilvl w:val="0"/>
          <w:numId w:val="35"/>
        </w:numPr>
        <w:spacing w:before="120" w:after="240" w:line="240" w:lineRule="auto"/>
        <w:rPr>
          <w:color w:val="auto"/>
        </w:rPr>
      </w:pPr>
      <w:r w:rsidRPr="00574B74">
        <w:rPr>
          <w:color w:val="auto"/>
        </w:rPr>
        <w:t xml:space="preserve">where the goods or services are for building and engineering maintenance the responsible works manager must certify that the first two conditions of this </w:t>
      </w:r>
      <w:r w:rsidRPr="00EF139A">
        <w:rPr>
          <w:color w:val="auto"/>
        </w:rPr>
        <w:t>SFI</w:t>
      </w:r>
      <w:r w:rsidR="00EF139A" w:rsidRPr="00EF139A">
        <w:rPr>
          <w:color w:val="auto"/>
        </w:rPr>
        <w:t xml:space="preserve"> applies.</w:t>
      </w:r>
    </w:p>
    <w:p w14:paraId="2AFFF0BD" w14:textId="1E666173" w:rsidR="00574B74" w:rsidRPr="00574B74" w:rsidRDefault="00574B74" w:rsidP="00BB6325">
      <w:pPr>
        <w:pStyle w:val="Heading3Numbered"/>
      </w:pPr>
      <w:r w:rsidRPr="00574B74">
        <w:t>Where three quotes cannot be obtained or non-competitive quotations applied a Single Tender Waiver document must be completed following the process as set out in section 8.6.</w:t>
      </w:r>
    </w:p>
    <w:p w14:paraId="254A534E" w14:textId="61BA518C" w:rsidR="00E53335" w:rsidRPr="002A6450" w:rsidRDefault="00805568" w:rsidP="00171ABE">
      <w:pPr>
        <w:pStyle w:val="Heading2Numbered"/>
        <w:spacing w:before="360"/>
        <w:ind w:left="0"/>
        <w:rPr>
          <w:color w:val="002060"/>
        </w:rPr>
      </w:pPr>
      <w:bookmarkStart w:id="34" w:name="_Toc230249776"/>
      <w:r w:rsidRPr="002A6450">
        <w:rPr>
          <w:color w:val="002060"/>
        </w:rPr>
        <w:t>C</w:t>
      </w:r>
      <w:r w:rsidR="00E53335" w:rsidRPr="002A6450">
        <w:rPr>
          <w:color w:val="002060"/>
        </w:rPr>
        <w:t xml:space="preserve">ompetitive </w:t>
      </w:r>
      <w:r w:rsidR="006F40AA" w:rsidRPr="002A6450">
        <w:rPr>
          <w:color w:val="002060"/>
        </w:rPr>
        <w:t>t</w:t>
      </w:r>
      <w:r w:rsidR="00E53335" w:rsidRPr="002A6450">
        <w:rPr>
          <w:color w:val="002060"/>
        </w:rPr>
        <w:t>endering</w:t>
      </w:r>
      <w:bookmarkEnd w:id="34"/>
    </w:p>
    <w:p w14:paraId="10A5A88F" w14:textId="085B73C9" w:rsidR="00805568" w:rsidRPr="00574B74" w:rsidRDefault="00805568" w:rsidP="00BB6325">
      <w:pPr>
        <w:pStyle w:val="Heading3Numbered"/>
      </w:pPr>
      <w:r w:rsidRPr="00304003">
        <w:rPr>
          <w:b/>
          <w:bCs/>
        </w:rPr>
        <w:t>Non-healthcare</w:t>
      </w:r>
      <w:r w:rsidRPr="00574B74">
        <w:t xml:space="preserve"> related services</w:t>
      </w:r>
    </w:p>
    <w:p w14:paraId="5321CF29" w14:textId="78AF3A92" w:rsidR="00E53335" w:rsidRPr="00574B74" w:rsidRDefault="00574B74" w:rsidP="0070678C">
      <w:pPr>
        <w:pStyle w:val="Heading3Numbered"/>
        <w:numPr>
          <w:ilvl w:val="0"/>
          <w:numId w:val="0"/>
        </w:numPr>
        <w:ind w:left="142"/>
      </w:pPr>
      <w:r w:rsidRPr="00574B74">
        <w:t xml:space="preserve">The </w:t>
      </w:r>
      <w:r w:rsidR="00E53335" w:rsidRPr="00574B74">
        <w:t>ICB shall ensure that competitive tenders are invited for</w:t>
      </w:r>
      <w:r w:rsidR="00805568" w:rsidRPr="00574B74">
        <w:t xml:space="preserve"> non-healthcare related contracts where the intended expenditure or income exceeds, or is reasonably expected to </w:t>
      </w:r>
      <w:r w:rsidR="00805568" w:rsidRPr="00FC02FE">
        <w:t xml:space="preserve">exceed </w:t>
      </w:r>
      <w:r w:rsidR="00B52694" w:rsidRPr="00FC02FE">
        <w:t xml:space="preserve">the </w:t>
      </w:r>
      <w:r w:rsidR="00304003" w:rsidRPr="00FC02FE">
        <w:t xml:space="preserve">Public Contract Regulation threshold level </w:t>
      </w:r>
      <w:r w:rsidR="00805568" w:rsidRPr="00FC02FE">
        <w:t>ove</w:t>
      </w:r>
      <w:r w:rsidR="00805568" w:rsidRPr="00574B74">
        <w:t>r the lifetime of the contract, including</w:t>
      </w:r>
      <w:r w:rsidR="00E53335" w:rsidRPr="00574B74">
        <w:t xml:space="preserve">: </w:t>
      </w:r>
    </w:p>
    <w:p w14:paraId="531536C1" w14:textId="15217C7F" w:rsidR="00E53335" w:rsidRPr="00574B74" w:rsidRDefault="00E53335" w:rsidP="0074740C">
      <w:pPr>
        <w:pStyle w:val="BodyTextNoSpacing"/>
        <w:numPr>
          <w:ilvl w:val="0"/>
          <w:numId w:val="25"/>
        </w:numPr>
        <w:spacing w:before="240" w:after="120"/>
        <w:ind w:left="714" w:hanging="357"/>
        <w:rPr>
          <w:color w:val="auto"/>
        </w:rPr>
      </w:pPr>
      <w:r w:rsidRPr="00574B74">
        <w:rPr>
          <w:color w:val="auto"/>
        </w:rPr>
        <w:t>the supply of goods, materials and manufactured articles;</w:t>
      </w:r>
    </w:p>
    <w:p w14:paraId="6FE2624D" w14:textId="623EF06F" w:rsidR="00E53335" w:rsidRPr="00574B74" w:rsidRDefault="00E53335" w:rsidP="0074740C">
      <w:pPr>
        <w:pStyle w:val="BodyTextNoSpacing"/>
        <w:numPr>
          <w:ilvl w:val="0"/>
          <w:numId w:val="25"/>
        </w:numPr>
        <w:spacing w:before="240" w:after="120"/>
        <w:ind w:left="714" w:hanging="357"/>
        <w:rPr>
          <w:color w:val="auto"/>
        </w:rPr>
      </w:pPr>
      <w:r w:rsidRPr="00574B74">
        <w:rPr>
          <w:color w:val="auto"/>
        </w:rPr>
        <w:t xml:space="preserve">services including all forms of management consultancy services (other than specialised services sought from or provided by the </w:t>
      </w:r>
      <w:r w:rsidR="00A10769" w:rsidRPr="00574B74">
        <w:rPr>
          <w:color w:val="auto"/>
        </w:rPr>
        <w:t>Department of Health and Social Care</w:t>
      </w:r>
      <w:r w:rsidRPr="00574B74">
        <w:rPr>
          <w:color w:val="auto"/>
        </w:rPr>
        <w:t>)</w:t>
      </w:r>
      <w:r w:rsidR="00EF139A">
        <w:rPr>
          <w:color w:val="auto"/>
        </w:rPr>
        <w:t>;</w:t>
      </w:r>
    </w:p>
    <w:p w14:paraId="5AE21C28" w14:textId="6946A8B5" w:rsidR="00E53335" w:rsidRPr="00574B74" w:rsidRDefault="00E53335" w:rsidP="0074740C">
      <w:pPr>
        <w:pStyle w:val="BodyTextNoSpacing"/>
        <w:numPr>
          <w:ilvl w:val="0"/>
          <w:numId w:val="25"/>
        </w:numPr>
        <w:spacing w:before="240" w:after="120"/>
        <w:ind w:left="714" w:hanging="357"/>
        <w:rPr>
          <w:color w:val="auto"/>
        </w:rPr>
      </w:pPr>
      <w:r w:rsidRPr="00574B74">
        <w:rPr>
          <w:color w:val="auto"/>
        </w:rPr>
        <w:t>the design, construction and maintenance of building and engineering works (including construction and maintenance of grounds and gardens); for disposals</w:t>
      </w:r>
      <w:r w:rsidR="00EF139A">
        <w:rPr>
          <w:color w:val="auto"/>
        </w:rPr>
        <w:t>.</w:t>
      </w:r>
    </w:p>
    <w:p w14:paraId="6D3CEAE7" w14:textId="24841961" w:rsidR="00E53335" w:rsidRPr="00574B74" w:rsidRDefault="00E53335" w:rsidP="0070678C">
      <w:pPr>
        <w:pStyle w:val="Heading3Numbered"/>
      </w:pPr>
      <w:r w:rsidRPr="003F76DC">
        <w:rPr>
          <w:b/>
          <w:bCs/>
        </w:rPr>
        <w:lastRenderedPageBreak/>
        <w:t>Health Care</w:t>
      </w:r>
      <w:r w:rsidRPr="00574B74">
        <w:t xml:space="preserve"> Services</w:t>
      </w:r>
    </w:p>
    <w:p w14:paraId="1478E8E3" w14:textId="0D333069" w:rsidR="00546B33" w:rsidRDefault="00546B33" w:rsidP="0070678C">
      <w:pPr>
        <w:pStyle w:val="Heading3Numbered"/>
        <w:numPr>
          <w:ilvl w:val="0"/>
          <w:numId w:val="0"/>
        </w:numPr>
        <w:ind w:left="142"/>
      </w:pPr>
      <w:r w:rsidRPr="00574B74">
        <w:t>To be read in conjunction with section 8.</w:t>
      </w:r>
      <w:r w:rsidR="00697B87" w:rsidRPr="00FC02FE">
        <w:t>13</w:t>
      </w:r>
      <w:r w:rsidRPr="00697B87">
        <w:rPr>
          <w:color w:val="FF0000"/>
        </w:rPr>
        <w:t xml:space="preserve"> </w:t>
      </w:r>
      <w:r w:rsidRPr="00574B74">
        <w:t xml:space="preserve">- Healthcare Service Agreements and the </w:t>
      </w:r>
      <w:r w:rsidR="00115001">
        <w:t xml:space="preserve">latest version of the </w:t>
      </w:r>
      <w:r w:rsidR="00CE0BBA">
        <w:t xml:space="preserve">relevant procurement </w:t>
      </w:r>
      <w:r w:rsidR="003F76DC">
        <w:t xml:space="preserve">policy </w:t>
      </w:r>
      <w:r w:rsidR="00CE0BBA">
        <w:t>avail</w:t>
      </w:r>
      <w:r w:rsidR="008141EE">
        <w:t>able on the intran</w:t>
      </w:r>
      <w:r w:rsidR="008141EE" w:rsidRPr="004674E6">
        <w:rPr>
          <w:color w:val="auto"/>
        </w:rPr>
        <w:t>et</w:t>
      </w:r>
      <w:r w:rsidRPr="004674E6">
        <w:rPr>
          <w:color w:val="auto"/>
        </w:rPr>
        <w:t>.</w:t>
      </w:r>
    </w:p>
    <w:p w14:paraId="721A4C92" w14:textId="1BFD0715" w:rsidR="003F76DC" w:rsidRPr="003F76DC" w:rsidRDefault="00546B33" w:rsidP="003F76DC">
      <w:pPr>
        <w:pStyle w:val="Heading3Numbered"/>
      </w:pPr>
      <w:r w:rsidRPr="00805568">
        <w:t>Where the ICB elects to invite tenders for the supply of healthcare services the ICB Constitution and these Standing Financial Instructions shall apply as far as they are applicable to the tendering procedure</w:t>
      </w:r>
      <w:r>
        <w:t>.</w:t>
      </w:r>
    </w:p>
    <w:p w14:paraId="5423678C" w14:textId="3D374843" w:rsidR="00E53335" w:rsidRPr="00622F80" w:rsidRDefault="00E53335" w:rsidP="003F76DC">
      <w:pPr>
        <w:pStyle w:val="Heading3Numbered"/>
      </w:pPr>
    </w:p>
    <w:p w14:paraId="7D2CF2B8" w14:textId="7E7367D2" w:rsidR="00805568" w:rsidRDefault="00805568" w:rsidP="00BB6325">
      <w:pPr>
        <w:pStyle w:val="Heading3Numbered"/>
      </w:pPr>
      <w:r w:rsidRPr="00574B74">
        <w:t xml:space="preserve">Where competitive tendering has not been applied a </w:t>
      </w:r>
      <w:r w:rsidR="003F76DC" w:rsidRPr="003F76DC">
        <w:t xml:space="preserve">non-compliant request form and procurement complexity framework must be completed and taken through the procurement oversight group for consideration and support. If a </w:t>
      </w:r>
      <w:r w:rsidRPr="00574B74">
        <w:t>Single Tender Waiver document</w:t>
      </w:r>
      <w:r w:rsidR="003F76DC">
        <w:t xml:space="preserve"> is needed it</w:t>
      </w:r>
      <w:r w:rsidRPr="00574B74">
        <w:t xml:space="preserve"> must be completed following the process as set out in section 8.6.</w:t>
      </w:r>
    </w:p>
    <w:p w14:paraId="0DDD7690" w14:textId="2339198E" w:rsidR="003F76DC" w:rsidRPr="003F76DC" w:rsidRDefault="003F76DC" w:rsidP="003F76DC">
      <w:pPr>
        <w:pStyle w:val="Heading3Numbered"/>
      </w:pPr>
      <w:r w:rsidRPr="003F76DC">
        <w:t>Where the Provider Selection Regime is not followed a non-compliant request form and a procurement complexity framework must be completed. All healthcare non-compliant commissions/procurements must be overseen / supported by the procurement oversight group.</w:t>
      </w:r>
    </w:p>
    <w:p w14:paraId="50E1DF07" w14:textId="11FDBE23" w:rsidR="00A10769" w:rsidRPr="002A6450" w:rsidRDefault="00A10769" w:rsidP="00A10769">
      <w:pPr>
        <w:pStyle w:val="Heading2Numbered"/>
        <w:spacing w:before="360"/>
        <w:ind w:left="0"/>
        <w:rPr>
          <w:color w:val="002060"/>
        </w:rPr>
      </w:pPr>
      <w:bookmarkStart w:id="35" w:name="_Toc230249777"/>
      <w:r w:rsidRPr="002A6450">
        <w:rPr>
          <w:color w:val="002060"/>
        </w:rPr>
        <w:t>Waiving of tendering procedures</w:t>
      </w:r>
      <w:bookmarkEnd w:id="35"/>
    </w:p>
    <w:p w14:paraId="669E3892" w14:textId="187E8F9C" w:rsidR="00E53335" w:rsidRDefault="00A10769" w:rsidP="00A10769">
      <w:pPr>
        <w:pStyle w:val="BodyTextNoSpacing"/>
        <w:spacing w:before="120" w:after="240" w:line="240" w:lineRule="auto"/>
      </w:pPr>
      <w:r>
        <w:t>8.</w:t>
      </w:r>
      <w:r w:rsidR="003B0A2C">
        <w:t>6</w:t>
      </w:r>
      <w:r>
        <w:t>.1</w:t>
      </w:r>
      <w:r>
        <w:tab/>
      </w:r>
      <w:r w:rsidR="00E53335">
        <w:t>Formal tendering procedures</w:t>
      </w:r>
      <w:r w:rsidR="00DC34A9">
        <w:t xml:space="preserve"> </w:t>
      </w:r>
      <w:r w:rsidR="00E53335">
        <w:t>may be waived in the following circumstances:</w:t>
      </w:r>
    </w:p>
    <w:p w14:paraId="5EED253C" w14:textId="0CD7081E" w:rsidR="00E53335" w:rsidRDefault="00E53335" w:rsidP="0074740C">
      <w:pPr>
        <w:pStyle w:val="BodyTextNoSpacing"/>
        <w:numPr>
          <w:ilvl w:val="0"/>
          <w:numId w:val="65"/>
        </w:numPr>
        <w:spacing w:before="120" w:after="240" w:line="240" w:lineRule="auto"/>
        <w:ind w:left="1134" w:hanging="425"/>
      </w:pPr>
      <w:r>
        <w:t>in very exceptional circumstances where the Chief Executive Officer decides that formal tendering procedures would not be practicable or the estimated expenditure or income would not warrant formal tendering procedures</w:t>
      </w:r>
      <w:r w:rsidR="0062066C">
        <w:t>;</w:t>
      </w:r>
    </w:p>
    <w:p w14:paraId="4ABA53BA" w14:textId="33888B7F" w:rsidR="00E53335" w:rsidRDefault="00E53335" w:rsidP="0074740C">
      <w:pPr>
        <w:pStyle w:val="BodyTextNoSpacing"/>
        <w:numPr>
          <w:ilvl w:val="0"/>
          <w:numId w:val="65"/>
        </w:numPr>
        <w:spacing w:before="120" w:after="240" w:line="240" w:lineRule="auto"/>
        <w:ind w:left="1134" w:hanging="425"/>
      </w:pPr>
      <w:r>
        <w:t xml:space="preserve">where the requirement </w:t>
      </w:r>
      <w:r w:rsidRPr="00FC02FE">
        <w:rPr>
          <w:color w:val="auto"/>
        </w:rPr>
        <w:t>is covered by an existing contract</w:t>
      </w:r>
      <w:r w:rsidR="00304003" w:rsidRPr="00FC02FE">
        <w:rPr>
          <w:color w:val="auto"/>
        </w:rPr>
        <w:t>, including any optional extension periods</w:t>
      </w:r>
      <w:r w:rsidRPr="00FC02FE">
        <w:rPr>
          <w:color w:val="auto"/>
        </w:rPr>
        <w:t>;</w:t>
      </w:r>
    </w:p>
    <w:p w14:paraId="692AD3BF" w14:textId="5B2C3D46" w:rsidR="00E53335" w:rsidRDefault="00E53335" w:rsidP="0074740C">
      <w:pPr>
        <w:pStyle w:val="BodyTextNoSpacing"/>
        <w:numPr>
          <w:ilvl w:val="0"/>
          <w:numId w:val="65"/>
        </w:numPr>
        <w:spacing w:before="120" w:after="240" w:line="240" w:lineRule="auto"/>
        <w:ind w:left="1134" w:hanging="425"/>
      </w:pPr>
      <w:r>
        <w:t xml:space="preserve">where the Cabinet Office framework agreements are in place and have been approved by the </w:t>
      </w:r>
      <w:r w:rsidR="0032611D">
        <w:t>Board</w:t>
      </w:r>
      <w:r>
        <w:t>;</w:t>
      </w:r>
    </w:p>
    <w:p w14:paraId="2B0A23AD" w14:textId="66AD66A0" w:rsidR="00E53335" w:rsidRDefault="00E53335" w:rsidP="0074740C">
      <w:pPr>
        <w:pStyle w:val="BodyTextNoSpacing"/>
        <w:numPr>
          <w:ilvl w:val="0"/>
          <w:numId w:val="65"/>
        </w:numPr>
        <w:spacing w:before="120" w:after="240" w:line="240" w:lineRule="auto"/>
        <w:ind w:left="1134" w:hanging="425"/>
      </w:pPr>
      <w:r>
        <w:t>where a consortium arrangement is in place and a lead organisation has been appointed to carry out tendering activity on behalf of the consortium members;</w:t>
      </w:r>
    </w:p>
    <w:p w14:paraId="3F075CCB" w14:textId="2BCBA9FB" w:rsidR="00E53335" w:rsidRDefault="00E53335" w:rsidP="0074740C">
      <w:pPr>
        <w:pStyle w:val="BodyTextNoSpacing"/>
        <w:numPr>
          <w:ilvl w:val="0"/>
          <w:numId w:val="65"/>
        </w:numPr>
        <w:spacing w:before="120" w:after="240" w:line="240" w:lineRule="auto"/>
        <w:ind w:left="1134" w:hanging="425"/>
      </w:pPr>
      <w:r>
        <w:t>where the timescale genuinely precludes competitive tendering, but failure to plan the work properly would not be regarded as a justification for a single tender;</w:t>
      </w:r>
    </w:p>
    <w:p w14:paraId="187FB363" w14:textId="6E4D1CB4" w:rsidR="00E53335" w:rsidRDefault="00E53335" w:rsidP="0074740C">
      <w:pPr>
        <w:pStyle w:val="BodyTextNoSpacing"/>
        <w:numPr>
          <w:ilvl w:val="0"/>
          <w:numId w:val="65"/>
        </w:numPr>
        <w:spacing w:before="120" w:after="240" w:line="240" w:lineRule="auto"/>
        <w:ind w:left="1134" w:hanging="425"/>
      </w:pPr>
      <w:r>
        <w:t>where specialist expertise is required and is available from only one source;</w:t>
      </w:r>
    </w:p>
    <w:p w14:paraId="367851CF" w14:textId="03E28D4D" w:rsidR="00C17C0E" w:rsidRPr="00FC02FE" w:rsidRDefault="00C17C0E" w:rsidP="0074740C">
      <w:pPr>
        <w:pStyle w:val="BodyTextNoSpacing"/>
        <w:numPr>
          <w:ilvl w:val="0"/>
          <w:numId w:val="65"/>
        </w:numPr>
        <w:spacing w:before="120" w:after="240" w:line="240" w:lineRule="auto"/>
        <w:ind w:left="1134" w:hanging="425"/>
        <w:rPr>
          <w:color w:val="auto"/>
        </w:rPr>
      </w:pPr>
      <w:r w:rsidRPr="00FC02FE">
        <w:rPr>
          <w:color w:val="auto"/>
        </w:rPr>
        <w:t xml:space="preserve">where specialist activities </w:t>
      </w:r>
      <w:r w:rsidR="00304003" w:rsidRPr="00FC02FE">
        <w:rPr>
          <w:color w:val="auto"/>
        </w:rPr>
        <w:t xml:space="preserve">covered under a grant agreement </w:t>
      </w:r>
      <w:r w:rsidRPr="00FC02FE">
        <w:rPr>
          <w:color w:val="auto"/>
        </w:rPr>
        <w:t>are available from only one voluntary community and social enterprise organisation;</w:t>
      </w:r>
    </w:p>
    <w:p w14:paraId="7611960F" w14:textId="55780950" w:rsidR="00E53335" w:rsidRDefault="00E53335" w:rsidP="0074740C">
      <w:pPr>
        <w:pStyle w:val="BodyTextNoSpacing"/>
        <w:numPr>
          <w:ilvl w:val="0"/>
          <w:numId w:val="65"/>
        </w:numPr>
        <w:spacing w:before="120" w:after="240" w:line="240" w:lineRule="auto"/>
        <w:ind w:left="1134" w:hanging="425"/>
      </w:pPr>
      <w:r>
        <w:lastRenderedPageBreak/>
        <w:t xml:space="preserve">when the task is essential to complete the project, and arises </w:t>
      </w:r>
      <w:proofErr w:type="gramStart"/>
      <w:r>
        <w:t>as a consequence of</w:t>
      </w:r>
      <w:proofErr w:type="gramEnd"/>
      <w:r>
        <w:t xml:space="preserve"> a recently completed assignment and engaging different consultants for the new task would be inappropriate;</w:t>
      </w:r>
    </w:p>
    <w:p w14:paraId="1BB6A707" w14:textId="38AD3A55" w:rsidR="00E53335" w:rsidRDefault="00E53335" w:rsidP="0074740C">
      <w:pPr>
        <w:pStyle w:val="BodyTextNoSpacing"/>
        <w:numPr>
          <w:ilvl w:val="0"/>
          <w:numId w:val="65"/>
        </w:numPr>
        <w:spacing w:before="120" w:after="240" w:line="240" w:lineRule="auto"/>
        <w:ind w:left="1134" w:hanging="425"/>
      </w:pPr>
      <w:r>
        <w:t xml:space="preserve">there is a clear benefit to be gained from maintaining continuity with an earlier project. </w:t>
      </w:r>
      <w:r w:rsidR="00A10769">
        <w:t xml:space="preserve"> </w:t>
      </w:r>
      <w:r>
        <w:t>However, in such cases the benefits of such continuity must outweigh any potential financial advantage to be gained by competitive tendering;</w:t>
      </w:r>
    </w:p>
    <w:p w14:paraId="49326879" w14:textId="3F8F7478" w:rsidR="00E53335" w:rsidRDefault="00E53335" w:rsidP="0074740C">
      <w:pPr>
        <w:pStyle w:val="BodyTextNoSpacing"/>
        <w:numPr>
          <w:ilvl w:val="0"/>
          <w:numId w:val="65"/>
        </w:numPr>
        <w:spacing w:before="120" w:after="240" w:line="240" w:lineRule="auto"/>
        <w:ind w:left="1134" w:hanging="425"/>
      </w:pPr>
      <w:r>
        <w:t>for the provision of legal advice and services providing that any legal firm or partnership commissioned by the ICB is regulated by the Law Society for England and Wales for the conduct of their business (or by the Bar Council for England and Wales in relation to the obtaining of Counsel’s opinion) and are generally recognised as having sufficient expertise in the area of work for which they are commissioned</w:t>
      </w:r>
      <w:r w:rsidR="00EF139A">
        <w:t>;</w:t>
      </w:r>
    </w:p>
    <w:p w14:paraId="2CD83B45" w14:textId="6378556F" w:rsidR="00A10769" w:rsidRDefault="00E53335" w:rsidP="0074740C">
      <w:pPr>
        <w:pStyle w:val="BodyTextNoSpacing"/>
        <w:numPr>
          <w:ilvl w:val="0"/>
          <w:numId w:val="65"/>
        </w:numPr>
        <w:spacing w:before="120" w:after="240" w:line="240" w:lineRule="auto"/>
        <w:ind w:left="1134" w:hanging="425"/>
      </w:pPr>
      <w:r>
        <w:t>where allowed and provided for in the Capital Investment Manua</w:t>
      </w:r>
      <w:r w:rsidR="00CA09DD">
        <w:t xml:space="preserve">l.    </w:t>
      </w:r>
    </w:p>
    <w:p w14:paraId="144A32D6" w14:textId="77777777" w:rsidR="00805568" w:rsidRDefault="00E53335" w:rsidP="0074740C">
      <w:pPr>
        <w:pStyle w:val="BodyTextNoSpacing"/>
        <w:numPr>
          <w:ilvl w:val="2"/>
          <w:numId w:val="67"/>
        </w:numPr>
        <w:spacing w:before="120" w:after="240" w:line="240" w:lineRule="auto"/>
      </w:pPr>
      <w:r>
        <w:t>The waiving of competitive tendering procedures should not be used to avoid competition or for administrative convenience or to award further work to a consultant originally appointed through a competitive procedure.</w:t>
      </w:r>
    </w:p>
    <w:p w14:paraId="76B17AED" w14:textId="429E3610" w:rsidR="00805568" w:rsidRDefault="00E53335" w:rsidP="00EF139A">
      <w:pPr>
        <w:pStyle w:val="BodyTextNoSpacing"/>
        <w:spacing w:before="120" w:after="240" w:line="240" w:lineRule="auto"/>
        <w:ind w:left="142"/>
      </w:pPr>
      <w:r>
        <w:t>Where it is decided that competitive tendering is not applicable and should be waived, the fact of the waiver and the reasons should be documented and recorded in an appropriate ICB record and reported to the Audit, and Risk Committee at each meeting.</w:t>
      </w:r>
    </w:p>
    <w:p w14:paraId="52EB4689" w14:textId="06747993" w:rsidR="00805568" w:rsidRDefault="0015100E" w:rsidP="0074740C">
      <w:pPr>
        <w:pStyle w:val="BodyTextNoSpacing"/>
        <w:numPr>
          <w:ilvl w:val="2"/>
          <w:numId w:val="67"/>
        </w:numPr>
        <w:spacing w:before="120" w:after="240" w:line="240" w:lineRule="auto"/>
      </w:pPr>
      <w:r w:rsidRPr="00171ABE">
        <w:t xml:space="preserve">Fair and </w:t>
      </w:r>
      <w:r w:rsidR="00E53335" w:rsidRPr="00171ABE">
        <w:t>Adequate Competition</w:t>
      </w:r>
      <w:r w:rsidR="00CC6B65">
        <w:t xml:space="preserve">. </w:t>
      </w:r>
      <w:r w:rsidR="00E53335">
        <w:t xml:space="preserve">Where the exceptions set out in </w:t>
      </w:r>
      <w:r w:rsidR="005E3230" w:rsidRPr="00574B74">
        <w:rPr>
          <w:color w:val="auto"/>
        </w:rPr>
        <w:t xml:space="preserve">8.5.4 </w:t>
      </w:r>
      <w:r w:rsidR="00E53335" w:rsidRPr="00574B74">
        <w:rPr>
          <w:color w:val="auto"/>
        </w:rPr>
        <w:t>apply</w:t>
      </w:r>
      <w:r w:rsidR="00E53335">
        <w:t xml:space="preserve">, the ICB shall ensure that </w:t>
      </w:r>
      <w:r w:rsidR="00EF139A">
        <w:t>I</w:t>
      </w:r>
      <w:r w:rsidR="00E53335">
        <w:t xml:space="preserve">nvitations </w:t>
      </w:r>
      <w:r w:rsidR="00EF139A">
        <w:t>T</w:t>
      </w:r>
      <w:r w:rsidR="00E53335">
        <w:t xml:space="preserve">o </w:t>
      </w:r>
      <w:r w:rsidR="00EF139A">
        <w:t>T</w:t>
      </w:r>
      <w:r w:rsidR="00E53335">
        <w:t>ender</w:t>
      </w:r>
      <w:r w:rsidR="00EF139A">
        <w:t xml:space="preserve"> (ITT)</w:t>
      </w:r>
      <w:r w:rsidR="00E53335">
        <w:t xml:space="preserve"> are sent to a sufficient number of firms/individuals to provide fair and adequate competition as appropriate, and in no case less than three firms/individuals, having regard to their capacity to supply the goods or materials or to undertake the services or works required.</w:t>
      </w:r>
    </w:p>
    <w:p w14:paraId="114634EE" w14:textId="5C9E799E" w:rsidR="00805568" w:rsidRDefault="00E53335" w:rsidP="0074740C">
      <w:pPr>
        <w:pStyle w:val="BodyTextNoSpacing"/>
        <w:numPr>
          <w:ilvl w:val="2"/>
          <w:numId w:val="67"/>
        </w:numPr>
        <w:spacing w:before="120" w:after="240" w:line="240" w:lineRule="auto"/>
      </w:pPr>
      <w:r w:rsidRPr="00171ABE">
        <w:t xml:space="preserve">List of </w:t>
      </w:r>
      <w:r w:rsidR="003A0150">
        <w:t>a</w:t>
      </w:r>
      <w:r w:rsidRPr="00171ABE">
        <w:t xml:space="preserve">pproved </w:t>
      </w:r>
      <w:r w:rsidR="003A0150">
        <w:t>f</w:t>
      </w:r>
      <w:r w:rsidRPr="00171ABE">
        <w:t>irms</w:t>
      </w:r>
      <w:r w:rsidR="003A0150">
        <w:t xml:space="preserve">.  </w:t>
      </w:r>
      <w:r>
        <w:t xml:space="preserve">The ICB shall ensure that the firms/individuals invited to tender (and where appropriate, quote) are among those on </w:t>
      </w:r>
      <w:r w:rsidR="00CD7663">
        <w:t>appropriate frameworks or that are otherwise confirmed as qualified</w:t>
      </w:r>
      <w:r>
        <w:t>. Where in the opinion of the Chief Finance Officer it is desirable to seek tenders from firms not on the approved lists, the reason shall be recorded in writing to the Chief Executive Officer.</w:t>
      </w:r>
      <w:r w:rsidR="00805568">
        <w:t xml:space="preserve"> </w:t>
      </w:r>
    </w:p>
    <w:p w14:paraId="6FE5ABDE" w14:textId="7AB66AD7" w:rsidR="00701F21" w:rsidRPr="00574B74" w:rsidRDefault="00E53335" w:rsidP="0074740C">
      <w:pPr>
        <w:pStyle w:val="BodyTextNoSpacing"/>
        <w:numPr>
          <w:ilvl w:val="2"/>
          <w:numId w:val="67"/>
        </w:numPr>
        <w:spacing w:before="120" w:after="240" w:line="240" w:lineRule="auto"/>
        <w:rPr>
          <w:color w:val="auto"/>
        </w:rPr>
      </w:pPr>
      <w:r w:rsidRPr="00171ABE">
        <w:t>Items which subsequently breach thresholds after original approval</w:t>
      </w:r>
      <w:r w:rsidR="00CC6B65">
        <w:t xml:space="preserve">. </w:t>
      </w:r>
      <w:r>
        <w:t>Items estimated to be below the limits set in th</w:t>
      </w:r>
      <w:r w:rsidR="0015100E">
        <w:t>ese</w:t>
      </w:r>
      <w:r>
        <w:t xml:space="preserve"> </w:t>
      </w:r>
      <w:r w:rsidR="0015100E">
        <w:t>SFIs</w:t>
      </w:r>
      <w:r>
        <w:t xml:space="preserve"> for which formal tendering procedures are not used which subsequently prove to have a value above such limits shall be reported to the Chief Executive </w:t>
      </w:r>
      <w:r w:rsidR="00EF139A">
        <w:t>Officer</w:t>
      </w:r>
      <w:r w:rsidR="00EF139A" w:rsidRPr="005F429A">
        <w:t xml:space="preserve"> and</w:t>
      </w:r>
      <w:r w:rsidRPr="005F429A">
        <w:t xml:space="preserve"> be recorded in an appropriate </w:t>
      </w:r>
      <w:r w:rsidRPr="00574B74">
        <w:rPr>
          <w:color w:val="auto"/>
        </w:rPr>
        <w:t>ICB record.</w:t>
      </w:r>
    </w:p>
    <w:p w14:paraId="6C4FDF71" w14:textId="6084DD07" w:rsidR="00734D43" w:rsidRPr="00574B74" w:rsidRDefault="00A10769" w:rsidP="0074740C">
      <w:pPr>
        <w:pStyle w:val="Heading3Numbered"/>
        <w:numPr>
          <w:ilvl w:val="2"/>
          <w:numId w:val="67"/>
        </w:numPr>
      </w:pPr>
      <w:r w:rsidRPr="00574B74">
        <w:lastRenderedPageBreak/>
        <w:t xml:space="preserve">Where tendering procedures have been waived </w:t>
      </w:r>
      <w:r w:rsidR="004674E6">
        <w:t xml:space="preserve">or are non-compliant </w:t>
      </w:r>
      <w:r w:rsidRPr="00574B74">
        <w:t xml:space="preserve">a </w:t>
      </w:r>
      <w:r w:rsidR="00EF139A">
        <w:t>s</w:t>
      </w:r>
      <w:r w:rsidR="00495CC5" w:rsidRPr="00574B74">
        <w:t xml:space="preserve">ingle </w:t>
      </w:r>
      <w:r w:rsidR="00EF139A">
        <w:t>t</w:t>
      </w:r>
      <w:r w:rsidRPr="00574B74">
        <w:t xml:space="preserve">ender waiver form </w:t>
      </w:r>
      <w:r w:rsidR="004674E6">
        <w:t xml:space="preserve">or a non-compliant request form as appropriate </w:t>
      </w:r>
      <w:r w:rsidRPr="00574B74">
        <w:t xml:space="preserve">needs to be completed (available from the </w:t>
      </w:r>
      <w:r w:rsidR="00AE3EEF">
        <w:t>intranet</w:t>
      </w:r>
      <w:r w:rsidR="003F76DC">
        <w:t xml:space="preserve">) </w:t>
      </w:r>
      <w:r w:rsidRPr="00574B74">
        <w:t>and signed as noted below</w:t>
      </w:r>
      <w:r w:rsidR="005E3230" w:rsidRPr="00574B74">
        <w:t xml:space="preserve"> and attached to the </w:t>
      </w:r>
      <w:r w:rsidR="00495CC5" w:rsidRPr="00574B74">
        <w:t>requisition</w:t>
      </w:r>
      <w:r w:rsidRPr="00574B74">
        <w:t xml:space="preserve">, before being reported to the </w:t>
      </w:r>
      <w:r w:rsidR="00AB43D1">
        <w:t>Audit Committee</w:t>
      </w:r>
      <w:r w:rsidR="00701F21" w:rsidRPr="00574B74">
        <w:t>.</w:t>
      </w:r>
      <w:r w:rsidR="00734D43">
        <w:br/>
      </w:r>
      <w:r w:rsidR="00734D43">
        <w:br/>
      </w:r>
    </w:p>
    <w:tbl>
      <w:tblPr>
        <w:tblStyle w:val="TableGrid"/>
        <w:tblW w:w="8891" w:type="dxa"/>
        <w:tblInd w:w="416" w:type="dxa"/>
        <w:tblLook w:val="04A0" w:firstRow="1" w:lastRow="0" w:firstColumn="1" w:lastColumn="0" w:noHBand="0" w:noVBand="1"/>
      </w:tblPr>
      <w:tblGrid>
        <w:gridCol w:w="2963"/>
        <w:gridCol w:w="1861"/>
        <w:gridCol w:w="1843"/>
        <w:gridCol w:w="1697"/>
        <w:gridCol w:w="527"/>
      </w:tblGrid>
      <w:tr w:rsidR="00734D43" w14:paraId="75820369" w14:textId="77777777" w:rsidTr="0074740C">
        <w:tc>
          <w:tcPr>
            <w:tcW w:w="4824" w:type="dxa"/>
            <w:gridSpan w:val="2"/>
            <w:tcBorders>
              <w:bottom w:val="single" w:sz="4" w:space="0" w:color="auto"/>
            </w:tcBorders>
          </w:tcPr>
          <w:p w14:paraId="4F3BD8A1" w14:textId="77777777" w:rsidR="00734D43" w:rsidRDefault="00734D43" w:rsidP="001C168E">
            <w:pPr>
              <w:pStyle w:val="BodyText"/>
              <w:spacing w:after="120" w:line="240" w:lineRule="auto"/>
            </w:pPr>
            <w:r>
              <w:t>Approval level</w:t>
            </w:r>
          </w:p>
        </w:tc>
        <w:tc>
          <w:tcPr>
            <w:tcW w:w="1843" w:type="dxa"/>
            <w:tcBorders>
              <w:bottom w:val="single" w:sz="4" w:space="0" w:color="auto"/>
            </w:tcBorders>
          </w:tcPr>
          <w:p w14:paraId="45F26597" w14:textId="77777777" w:rsidR="00734D43" w:rsidRDefault="00734D43" w:rsidP="001C168E">
            <w:pPr>
              <w:pStyle w:val="BodyText"/>
              <w:spacing w:after="120" w:line="240" w:lineRule="auto"/>
              <w:jc w:val="center"/>
            </w:pPr>
            <w:r>
              <w:t>Annual value</w:t>
            </w:r>
          </w:p>
        </w:tc>
        <w:tc>
          <w:tcPr>
            <w:tcW w:w="2224" w:type="dxa"/>
            <w:gridSpan w:val="2"/>
            <w:tcBorders>
              <w:bottom w:val="single" w:sz="4" w:space="0" w:color="auto"/>
            </w:tcBorders>
          </w:tcPr>
          <w:p w14:paraId="7F30282B" w14:textId="77777777" w:rsidR="00734D43" w:rsidRDefault="00734D43" w:rsidP="001C168E">
            <w:pPr>
              <w:pStyle w:val="BodyText"/>
              <w:spacing w:after="120" w:line="240" w:lineRule="auto"/>
              <w:jc w:val="center"/>
            </w:pPr>
            <w:r>
              <w:t>Total lifecycle value</w:t>
            </w:r>
          </w:p>
        </w:tc>
      </w:tr>
      <w:tr w:rsidR="00734D43" w14:paraId="08D3924A" w14:textId="77777777" w:rsidTr="00734D43">
        <w:tc>
          <w:tcPr>
            <w:tcW w:w="4824" w:type="dxa"/>
            <w:gridSpan w:val="2"/>
            <w:tcBorders>
              <w:top w:val="single" w:sz="4" w:space="0" w:color="auto"/>
            </w:tcBorders>
          </w:tcPr>
          <w:p w14:paraId="17C9D4D9" w14:textId="7567C492" w:rsidR="00734D43" w:rsidRDefault="00734D43" w:rsidP="001C168E">
            <w:pPr>
              <w:pStyle w:val="BodyText"/>
              <w:spacing w:after="120" w:line="240" w:lineRule="auto"/>
            </w:pPr>
            <w:r>
              <w:t xml:space="preserve">Deputy </w:t>
            </w:r>
            <w:r w:rsidR="00DF5F56">
              <w:t>Director</w:t>
            </w:r>
          </w:p>
        </w:tc>
        <w:tc>
          <w:tcPr>
            <w:tcW w:w="1843" w:type="dxa"/>
            <w:tcBorders>
              <w:top w:val="single" w:sz="4" w:space="0" w:color="auto"/>
            </w:tcBorders>
          </w:tcPr>
          <w:p w14:paraId="34F74C7E" w14:textId="77777777" w:rsidR="00734D43" w:rsidRDefault="00734D43" w:rsidP="001C168E">
            <w:pPr>
              <w:pStyle w:val="BodyText"/>
              <w:spacing w:after="120" w:line="240" w:lineRule="auto"/>
              <w:jc w:val="center"/>
            </w:pPr>
            <w:r>
              <w:t>£100k</w:t>
            </w:r>
          </w:p>
        </w:tc>
        <w:tc>
          <w:tcPr>
            <w:tcW w:w="2224" w:type="dxa"/>
            <w:gridSpan w:val="2"/>
            <w:tcBorders>
              <w:top w:val="single" w:sz="4" w:space="0" w:color="auto"/>
            </w:tcBorders>
          </w:tcPr>
          <w:p w14:paraId="0E3E5871" w14:textId="77777777" w:rsidR="00734D43" w:rsidRDefault="00734D43" w:rsidP="001C168E">
            <w:pPr>
              <w:pStyle w:val="BodyText"/>
              <w:spacing w:after="120" w:line="240" w:lineRule="auto"/>
              <w:jc w:val="center"/>
            </w:pPr>
            <w:r>
              <w:t>&lt;£400k</w:t>
            </w:r>
          </w:p>
        </w:tc>
      </w:tr>
      <w:tr w:rsidR="00734D43" w14:paraId="5B853D52" w14:textId="77777777" w:rsidTr="0074740C">
        <w:tc>
          <w:tcPr>
            <w:tcW w:w="4824" w:type="dxa"/>
            <w:gridSpan w:val="2"/>
          </w:tcPr>
          <w:p w14:paraId="379FCCF1" w14:textId="77777777" w:rsidR="00734D43" w:rsidRDefault="00734D43" w:rsidP="001C168E">
            <w:pPr>
              <w:pStyle w:val="BodyText"/>
              <w:spacing w:after="120" w:line="240" w:lineRule="auto"/>
            </w:pPr>
            <w:r>
              <w:t>Lead Chief Officer</w:t>
            </w:r>
          </w:p>
        </w:tc>
        <w:tc>
          <w:tcPr>
            <w:tcW w:w="1843" w:type="dxa"/>
          </w:tcPr>
          <w:p w14:paraId="08860BE7" w14:textId="77777777" w:rsidR="00734D43" w:rsidRDefault="00734D43" w:rsidP="001C168E">
            <w:pPr>
              <w:pStyle w:val="BodyText"/>
              <w:spacing w:after="120" w:line="240" w:lineRule="auto"/>
              <w:jc w:val="center"/>
            </w:pPr>
            <w:r>
              <w:t>&lt;£1m</w:t>
            </w:r>
          </w:p>
        </w:tc>
        <w:tc>
          <w:tcPr>
            <w:tcW w:w="2224" w:type="dxa"/>
            <w:gridSpan w:val="2"/>
          </w:tcPr>
          <w:p w14:paraId="198341EF" w14:textId="77777777" w:rsidR="00734D43" w:rsidRDefault="00734D43" w:rsidP="001C168E">
            <w:pPr>
              <w:pStyle w:val="BodyText"/>
              <w:spacing w:after="120" w:line="240" w:lineRule="auto"/>
              <w:jc w:val="center"/>
            </w:pPr>
            <w:r>
              <w:t>&lt;£4m</w:t>
            </w:r>
          </w:p>
        </w:tc>
      </w:tr>
      <w:tr w:rsidR="00734D43" w14:paraId="1F851DB8" w14:textId="77777777" w:rsidTr="0074740C">
        <w:tc>
          <w:tcPr>
            <w:tcW w:w="4824" w:type="dxa"/>
            <w:gridSpan w:val="2"/>
          </w:tcPr>
          <w:p w14:paraId="218E6847" w14:textId="62F2A91E" w:rsidR="00734D43" w:rsidRDefault="00734D43" w:rsidP="001C168E">
            <w:pPr>
              <w:pStyle w:val="BodyText"/>
              <w:spacing w:after="120" w:line="240" w:lineRule="auto"/>
            </w:pPr>
            <w:r>
              <w:t xml:space="preserve">Chief Finance Officer </w:t>
            </w:r>
            <w:r w:rsidRPr="001C168E">
              <w:rPr>
                <w:b/>
                <w:bCs/>
                <w:u w:val="single"/>
              </w:rPr>
              <w:t>or</w:t>
            </w:r>
            <w:r>
              <w:t xml:space="preserve"> Chief Executive Officer</w:t>
            </w:r>
          </w:p>
        </w:tc>
        <w:tc>
          <w:tcPr>
            <w:tcW w:w="1843" w:type="dxa"/>
          </w:tcPr>
          <w:p w14:paraId="6F433E70" w14:textId="77777777" w:rsidR="00734D43" w:rsidRDefault="00734D43" w:rsidP="001C168E">
            <w:pPr>
              <w:pStyle w:val="BodyText"/>
              <w:spacing w:after="120" w:line="240" w:lineRule="auto"/>
              <w:jc w:val="center"/>
            </w:pPr>
            <w:r>
              <w:t>&lt;£5m</w:t>
            </w:r>
          </w:p>
        </w:tc>
        <w:tc>
          <w:tcPr>
            <w:tcW w:w="2224" w:type="dxa"/>
            <w:gridSpan w:val="2"/>
          </w:tcPr>
          <w:p w14:paraId="01BF35F1" w14:textId="77777777" w:rsidR="00734D43" w:rsidRDefault="00734D43" w:rsidP="001C168E">
            <w:pPr>
              <w:pStyle w:val="BodyText"/>
              <w:spacing w:after="120" w:line="240" w:lineRule="auto"/>
              <w:jc w:val="center"/>
            </w:pPr>
            <w:r>
              <w:t>&lt;£20m</w:t>
            </w:r>
          </w:p>
        </w:tc>
      </w:tr>
      <w:tr w:rsidR="00734D43" w14:paraId="1B0D116A" w14:textId="77777777" w:rsidTr="0074740C">
        <w:tc>
          <w:tcPr>
            <w:tcW w:w="4824" w:type="dxa"/>
            <w:gridSpan w:val="2"/>
          </w:tcPr>
          <w:p w14:paraId="50D1D40B" w14:textId="77777777" w:rsidR="00734D43" w:rsidRDefault="00734D43" w:rsidP="001C168E">
            <w:pPr>
              <w:pStyle w:val="BodyText"/>
              <w:spacing w:after="120" w:line="240" w:lineRule="auto"/>
            </w:pPr>
            <w:r>
              <w:t>ICB Board following oversight by the relevant Board committees with a specific responsibility for the service being contracted.</w:t>
            </w:r>
          </w:p>
        </w:tc>
        <w:tc>
          <w:tcPr>
            <w:tcW w:w="1843" w:type="dxa"/>
          </w:tcPr>
          <w:p w14:paraId="1CC07D52" w14:textId="77777777" w:rsidR="00734D43" w:rsidRDefault="00734D43" w:rsidP="001C168E">
            <w:pPr>
              <w:pStyle w:val="BodyText"/>
              <w:spacing w:after="120" w:line="240" w:lineRule="auto"/>
              <w:jc w:val="center"/>
            </w:pPr>
            <w:r>
              <w:t>&gt;£5m</w:t>
            </w:r>
          </w:p>
        </w:tc>
        <w:tc>
          <w:tcPr>
            <w:tcW w:w="2224" w:type="dxa"/>
            <w:gridSpan w:val="2"/>
          </w:tcPr>
          <w:p w14:paraId="1F9465AB" w14:textId="77777777" w:rsidR="00734D43" w:rsidRDefault="00734D43" w:rsidP="001C168E">
            <w:pPr>
              <w:pStyle w:val="BodyText"/>
              <w:spacing w:after="120" w:line="240" w:lineRule="auto"/>
              <w:jc w:val="center"/>
            </w:pPr>
            <w:r>
              <w:t>&gt;£20m</w:t>
            </w:r>
          </w:p>
        </w:tc>
      </w:tr>
      <w:tr w:rsidR="00574B74" w:rsidRPr="00574B74" w14:paraId="61D6341B" w14:textId="3104D50B" w:rsidTr="0074740C">
        <w:trPr>
          <w:gridAfter w:val="1"/>
          <w:wAfter w:w="527" w:type="dxa"/>
        </w:trPr>
        <w:tc>
          <w:tcPr>
            <w:tcW w:w="2963" w:type="dxa"/>
          </w:tcPr>
          <w:p w14:paraId="57634938" w14:textId="2EF8238D" w:rsidR="00A10769" w:rsidRPr="002E7730" w:rsidRDefault="005E3230" w:rsidP="0074740C">
            <w:pPr>
              <w:pStyle w:val="BodyText"/>
              <w:numPr>
                <w:ilvl w:val="0"/>
                <w:numId w:val="66"/>
              </w:numPr>
              <w:rPr>
                <w:rFonts w:eastAsiaTheme="majorEastAsia" w:cstheme="majorBidi"/>
                <w:color w:val="auto"/>
              </w:rPr>
            </w:pPr>
            <w:r w:rsidRPr="002E7730">
              <w:rPr>
                <w:rFonts w:eastAsiaTheme="majorEastAsia" w:cstheme="majorBidi"/>
                <w:color w:val="auto"/>
              </w:rPr>
              <w:t>&gt;</w:t>
            </w:r>
            <w:r w:rsidR="00A10769" w:rsidRPr="002E7730">
              <w:rPr>
                <w:rFonts w:eastAsiaTheme="majorEastAsia" w:cstheme="majorBidi"/>
                <w:color w:val="auto"/>
              </w:rPr>
              <w:t>£5k</w:t>
            </w:r>
            <w:r w:rsidRPr="002E7730">
              <w:rPr>
                <w:rFonts w:eastAsiaTheme="majorEastAsia" w:cstheme="majorBidi"/>
                <w:color w:val="auto"/>
              </w:rPr>
              <w:t xml:space="preserve"> and &lt;£</w:t>
            </w:r>
            <w:r w:rsidR="00DC34A9" w:rsidRPr="002E7730">
              <w:rPr>
                <w:rFonts w:eastAsiaTheme="majorEastAsia" w:cstheme="majorBidi"/>
                <w:color w:val="auto"/>
              </w:rPr>
              <w:t>100</w:t>
            </w:r>
            <w:r w:rsidRPr="002E7730">
              <w:rPr>
                <w:rFonts w:eastAsiaTheme="majorEastAsia" w:cstheme="majorBidi"/>
                <w:color w:val="auto"/>
              </w:rPr>
              <w:t>k</w:t>
            </w:r>
          </w:p>
        </w:tc>
        <w:tc>
          <w:tcPr>
            <w:tcW w:w="5401" w:type="dxa"/>
            <w:gridSpan w:val="3"/>
          </w:tcPr>
          <w:p w14:paraId="16FCCC8D" w14:textId="0078B001" w:rsidR="00A10769" w:rsidRPr="002E7730" w:rsidRDefault="005E3230" w:rsidP="00DD438E">
            <w:pPr>
              <w:pStyle w:val="BodyText"/>
              <w:rPr>
                <w:rFonts w:eastAsiaTheme="majorEastAsia" w:cstheme="majorBidi"/>
                <w:color w:val="auto"/>
              </w:rPr>
            </w:pPr>
            <w:r w:rsidRPr="002E7730">
              <w:rPr>
                <w:rFonts w:eastAsiaTheme="majorEastAsia" w:cstheme="majorBidi"/>
                <w:color w:val="auto"/>
              </w:rPr>
              <w:t xml:space="preserve">Lead </w:t>
            </w:r>
            <w:r w:rsidR="00916428" w:rsidRPr="002E7730">
              <w:rPr>
                <w:rFonts w:eastAsiaTheme="majorEastAsia" w:cstheme="majorBidi"/>
                <w:color w:val="auto"/>
              </w:rPr>
              <w:t>Chief Officer</w:t>
            </w:r>
            <w:r w:rsidR="007208A0" w:rsidRPr="002E7730">
              <w:rPr>
                <w:rFonts w:eastAsiaTheme="majorEastAsia" w:cstheme="majorBidi"/>
                <w:color w:val="auto"/>
              </w:rPr>
              <w:t xml:space="preserve"> and CFO</w:t>
            </w:r>
            <w:r w:rsidR="009C5CD8" w:rsidRPr="002E7730">
              <w:rPr>
                <w:rFonts w:eastAsiaTheme="majorEastAsia" w:cstheme="majorBidi"/>
                <w:color w:val="auto"/>
              </w:rPr>
              <w:t xml:space="preserve"> or deputy CFO</w:t>
            </w:r>
          </w:p>
        </w:tc>
      </w:tr>
      <w:tr w:rsidR="00574B74" w:rsidRPr="00574B74" w14:paraId="20C98C2B" w14:textId="27F43743" w:rsidTr="0074740C">
        <w:trPr>
          <w:gridAfter w:val="1"/>
          <w:wAfter w:w="527" w:type="dxa"/>
        </w:trPr>
        <w:tc>
          <w:tcPr>
            <w:tcW w:w="2963" w:type="dxa"/>
          </w:tcPr>
          <w:p w14:paraId="0144BDF7" w14:textId="216DCB72" w:rsidR="005E3230" w:rsidRPr="002E7730" w:rsidRDefault="005E3230" w:rsidP="0074740C">
            <w:pPr>
              <w:pStyle w:val="BodyText"/>
              <w:numPr>
                <w:ilvl w:val="0"/>
                <w:numId w:val="66"/>
              </w:numPr>
              <w:rPr>
                <w:rFonts w:eastAsiaTheme="majorEastAsia" w:cstheme="majorBidi"/>
                <w:color w:val="auto"/>
              </w:rPr>
            </w:pPr>
            <w:r w:rsidRPr="002E7730">
              <w:rPr>
                <w:rFonts w:eastAsiaTheme="majorEastAsia" w:cstheme="majorBidi"/>
                <w:color w:val="auto"/>
              </w:rPr>
              <w:t>&gt;£</w:t>
            </w:r>
            <w:r w:rsidR="00DC34A9" w:rsidRPr="002E7730">
              <w:rPr>
                <w:rFonts w:eastAsiaTheme="majorEastAsia" w:cstheme="majorBidi"/>
                <w:color w:val="auto"/>
              </w:rPr>
              <w:t>100</w:t>
            </w:r>
            <w:r w:rsidRPr="002E7730">
              <w:rPr>
                <w:rFonts w:eastAsiaTheme="majorEastAsia" w:cstheme="majorBidi"/>
                <w:color w:val="auto"/>
              </w:rPr>
              <w:t>k and &lt;£</w:t>
            </w:r>
            <w:r w:rsidR="00DC34A9" w:rsidRPr="002E7730">
              <w:rPr>
                <w:rFonts w:eastAsiaTheme="majorEastAsia" w:cstheme="majorBidi"/>
                <w:color w:val="auto"/>
              </w:rPr>
              <w:t>1m</w:t>
            </w:r>
          </w:p>
        </w:tc>
        <w:tc>
          <w:tcPr>
            <w:tcW w:w="5401" w:type="dxa"/>
            <w:gridSpan w:val="3"/>
          </w:tcPr>
          <w:p w14:paraId="45386D65" w14:textId="70530A89" w:rsidR="005E3230" w:rsidRPr="002E7730" w:rsidRDefault="005E3230" w:rsidP="00DD438E">
            <w:pPr>
              <w:pStyle w:val="BodyText"/>
              <w:rPr>
                <w:rFonts w:eastAsiaTheme="majorEastAsia" w:cstheme="majorBidi"/>
                <w:color w:val="auto"/>
              </w:rPr>
            </w:pPr>
            <w:r w:rsidRPr="002E7730">
              <w:rPr>
                <w:rFonts w:eastAsiaTheme="majorEastAsia" w:cstheme="majorBidi"/>
                <w:color w:val="auto"/>
              </w:rPr>
              <w:t>As above plus Chief Finance Officer</w:t>
            </w:r>
            <w:r w:rsidR="00E739B9" w:rsidRPr="002E7730">
              <w:rPr>
                <w:rFonts w:eastAsiaTheme="majorEastAsia" w:cstheme="majorBidi"/>
                <w:color w:val="auto"/>
              </w:rPr>
              <w:t xml:space="preserve"> and Chief Executive Officer</w:t>
            </w:r>
          </w:p>
        </w:tc>
      </w:tr>
      <w:tr w:rsidR="00574B74" w:rsidRPr="00574B74" w14:paraId="6EAE586C" w14:textId="640BC879" w:rsidTr="0074740C">
        <w:trPr>
          <w:gridAfter w:val="1"/>
          <w:wAfter w:w="527" w:type="dxa"/>
        </w:trPr>
        <w:tc>
          <w:tcPr>
            <w:tcW w:w="2963" w:type="dxa"/>
          </w:tcPr>
          <w:p w14:paraId="2504F91A" w14:textId="5EF8DC1B" w:rsidR="005E3230" w:rsidRPr="002E7730" w:rsidRDefault="00DC34A9" w:rsidP="0074740C">
            <w:pPr>
              <w:pStyle w:val="BodyText"/>
              <w:numPr>
                <w:ilvl w:val="0"/>
                <w:numId w:val="66"/>
              </w:numPr>
              <w:rPr>
                <w:rFonts w:eastAsiaTheme="majorEastAsia" w:cstheme="majorBidi"/>
                <w:color w:val="auto"/>
              </w:rPr>
            </w:pPr>
            <w:r w:rsidRPr="002E7730">
              <w:rPr>
                <w:rFonts w:eastAsiaTheme="majorEastAsia" w:cstheme="majorBidi"/>
                <w:color w:val="auto"/>
              </w:rPr>
              <w:t>&gt;</w:t>
            </w:r>
            <w:r w:rsidR="005E3230" w:rsidRPr="002E7730">
              <w:rPr>
                <w:rFonts w:eastAsiaTheme="majorEastAsia" w:cstheme="majorBidi"/>
                <w:color w:val="auto"/>
              </w:rPr>
              <w:t>£</w:t>
            </w:r>
            <w:r w:rsidRPr="002E7730">
              <w:rPr>
                <w:rFonts w:eastAsiaTheme="majorEastAsia" w:cstheme="majorBidi"/>
                <w:color w:val="auto"/>
              </w:rPr>
              <w:t>1m</w:t>
            </w:r>
          </w:p>
        </w:tc>
        <w:tc>
          <w:tcPr>
            <w:tcW w:w="5401" w:type="dxa"/>
            <w:gridSpan w:val="3"/>
          </w:tcPr>
          <w:p w14:paraId="4AD529B8" w14:textId="0C20DEB0" w:rsidR="005E3230" w:rsidRPr="002E7730" w:rsidRDefault="005E3230" w:rsidP="00DD438E">
            <w:pPr>
              <w:pStyle w:val="BodyText"/>
              <w:rPr>
                <w:rFonts w:eastAsiaTheme="majorEastAsia" w:cstheme="majorBidi"/>
                <w:color w:val="auto"/>
              </w:rPr>
            </w:pPr>
            <w:r w:rsidRPr="002E7730">
              <w:rPr>
                <w:rFonts w:eastAsiaTheme="majorEastAsia" w:cstheme="majorBidi"/>
                <w:color w:val="auto"/>
              </w:rPr>
              <w:t>As above plus Chief Executive Officer</w:t>
            </w:r>
          </w:p>
        </w:tc>
      </w:tr>
      <w:tr w:rsidR="00574B74" w:rsidRPr="00574B74" w14:paraId="7F7B4B8A" w14:textId="548BA36D" w:rsidTr="0074740C">
        <w:trPr>
          <w:gridAfter w:val="1"/>
          <w:wAfter w:w="527" w:type="dxa"/>
        </w:trPr>
        <w:tc>
          <w:tcPr>
            <w:tcW w:w="2963" w:type="dxa"/>
          </w:tcPr>
          <w:p w14:paraId="6BDDA32B" w14:textId="3316AF30" w:rsidR="00A10769" w:rsidRPr="002E7730" w:rsidRDefault="00A10769" w:rsidP="0074740C">
            <w:pPr>
              <w:pStyle w:val="BodyText"/>
              <w:numPr>
                <w:ilvl w:val="0"/>
                <w:numId w:val="66"/>
              </w:numPr>
              <w:rPr>
                <w:rFonts w:eastAsiaTheme="majorEastAsia" w:cstheme="majorBidi"/>
                <w:color w:val="auto"/>
              </w:rPr>
            </w:pPr>
            <w:r w:rsidRPr="002E7730">
              <w:rPr>
                <w:rFonts w:eastAsiaTheme="majorEastAsia" w:cstheme="majorBidi"/>
                <w:color w:val="auto"/>
              </w:rPr>
              <w:t>&gt;£</w:t>
            </w:r>
            <w:r w:rsidR="00DC34A9" w:rsidRPr="002E7730">
              <w:rPr>
                <w:rFonts w:eastAsiaTheme="majorEastAsia" w:cstheme="majorBidi"/>
                <w:color w:val="auto"/>
              </w:rPr>
              <w:t>5</w:t>
            </w:r>
            <w:r w:rsidRPr="002E7730">
              <w:rPr>
                <w:rFonts w:eastAsiaTheme="majorEastAsia" w:cstheme="majorBidi"/>
                <w:color w:val="auto"/>
              </w:rPr>
              <w:t>m</w:t>
            </w:r>
          </w:p>
        </w:tc>
        <w:tc>
          <w:tcPr>
            <w:tcW w:w="5401" w:type="dxa"/>
            <w:gridSpan w:val="3"/>
          </w:tcPr>
          <w:p w14:paraId="30C987EE" w14:textId="084B8721" w:rsidR="00A10769" w:rsidRPr="002E7730" w:rsidRDefault="005E3230" w:rsidP="00DD438E">
            <w:pPr>
              <w:pStyle w:val="BodyText"/>
              <w:rPr>
                <w:rFonts w:eastAsiaTheme="majorEastAsia" w:cstheme="majorBidi"/>
                <w:color w:val="auto"/>
              </w:rPr>
            </w:pPr>
            <w:r w:rsidRPr="002E7730">
              <w:rPr>
                <w:rFonts w:eastAsiaTheme="majorEastAsia" w:cstheme="majorBidi"/>
                <w:color w:val="auto"/>
              </w:rPr>
              <w:t xml:space="preserve">As above plus </w:t>
            </w:r>
            <w:r w:rsidR="00A10769" w:rsidRPr="002E7730">
              <w:rPr>
                <w:rFonts w:eastAsiaTheme="majorEastAsia" w:cstheme="majorBidi"/>
                <w:color w:val="auto"/>
              </w:rPr>
              <w:t>ICB Board</w:t>
            </w:r>
          </w:p>
        </w:tc>
      </w:tr>
    </w:tbl>
    <w:p w14:paraId="611D533E" w14:textId="39476FA1" w:rsidR="00B47B40" w:rsidRPr="002A6450" w:rsidRDefault="00B47B40" w:rsidP="00171ABE">
      <w:pPr>
        <w:pStyle w:val="Heading2Numbered"/>
        <w:spacing w:before="360"/>
        <w:ind w:left="0"/>
        <w:rPr>
          <w:color w:val="002060"/>
        </w:rPr>
      </w:pPr>
      <w:bookmarkStart w:id="36" w:name="_Toc230249778"/>
      <w:r w:rsidRPr="002A6450">
        <w:rPr>
          <w:color w:val="002060"/>
        </w:rPr>
        <w:t xml:space="preserve">Disposals (cross reference to </w:t>
      </w:r>
      <w:r w:rsidRPr="002A6450">
        <w:rPr>
          <w:color w:val="002060"/>
          <w:sz w:val="32"/>
          <w:szCs w:val="32"/>
        </w:rPr>
        <w:t xml:space="preserve">SFI </w:t>
      </w:r>
      <w:r w:rsidR="00DD108B" w:rsidRPr="002A6450">
        <w:rPr>
          <w:color w:val="002060"/>
          <w:sz w:val="32"/>
          <w:szCs w:val="32"/>
        </w:rPr>
        <w:t>1</w:t>
      </w:r>
      <w:r w:rsidR="00D36878" w:rsidRPr="002A6450">
        <w:rPr>
          <w:color w:val="002060"/>
          <w:sz w:val="32"/>
          <w:szCs w:val="32"/>
        </w:rPr>
        <w:t>4</w:t>
      </w:r>
      <w:r w:rsidR="00DD108B" w:rsidRPr="002A6450">
        <w:rPr>
          <w:color w:val="002060"/>
          <w:sz w:val="32"/>
          <w:szCs w:val="32"/>
        </w:rPr>
        <w:t>.2</w:t>
      </w:r>
      <w:r w:rsidRPr="002A6450">
        <w:rPr>
          <w:color w:val="002060"/>
        </w:rPr>
        <w:t>)</w:t>
      </w:r>
      <w:bookmarkEnd w:id="36"/>
    </w:p>
    <w:p w14:paraId="46BE4A61" w14:textId="635E4504" w:rsidR="00B47B40" w:rsidRPr="00B47B40" w:rsidRDefault="00B47B40" w:rsidP="0070678C">
      <w:pPr>
        <w:pStyle w:val="Heading3Numbered"/>
      </w:pPr>
      <w:r>
        <w:t xml:space="preserve">Where </w:t>
      </w:r>
      <w:r w:rsidR="00EA1A3B">
        <w:t>c</w:t>
      </w:r>
      <w:r w:rsidRPr="00B47B40">
        <w:t xml:space="preserve">ompetitive </w:t>
      </w:r>
      <w:r w:rsidR="00EA1A3B">
        <w:t>t</w:t>
      </w:r>
      <w:r w:rsidRPr="00B47B40">
        <w:t xml:space="preserve">endering or </w:t>
      </w:r>
      <w:r w:rsidR="00EA1A3B">
        <w:t>q</w:t>
      </w:r>
      <w:r w:rsidRPr="00B47B40">
        <w:t>uotation procedures shall not apply to the disposal of:</w:t>
      </w:r>
    </w:p>
    <w:p w14:paraId="0D384A53" w14:textId="560A639F" w:rsidR="00B47B40" w:rsidRPr="00B47B40" w:rsidRDefault="00B47B40" w:rsidP="0074740C">
      <w:pPr>
        <w:pStyle w:val="ListParagraph"/>
        <w:numPr>
          <w:ilvl w:val="0"/>
          <w:numId w:val="37"/>
        </w:numPr>
        <w:spacing w:before="120" w:after="240"/>
        <w:ind w:left="709" w:right="720" w:hanging="357"/>
        <w:contextualSpacing w:val="0"/>
        <w:rPr>
          <w:rFonts w:cs="Arial"/>
          <w:color w:val="000000"/>
        </w:rPr>
      </w:pPr>
      <w:r w:rsidRPr="00B47B40">
        <w:rPr>
          <w:rFonts w:cs="Arial"/>
          <w:color w:val="000000"/>
        </w:rPr>
        <w:t>any matter in respect of which a fair price can be obtained only by negotiation or sale by auction as determined (or pre-determined in a reserve) by the Chief Executive Officer or their nominated officer;</w:t>
      </w:r>
    </w:p>
    <w:p w14:paraId="438818E2" w14:textId="06A0B97C" w:rsidR="00B47B40" w:rsidRPr="00B47B40" w:rsidRDefault="00B47B40" w:rsidP="0074740C">
      <w:pPr>
        <w:pStyle w:val="ListParagraph"/>
        <w:numPr>
          <w:ilvl w:val="0"/>
          <w:numId w:val="37"/>
        </w:numPr>
        <w:spacing w:before="120" w:after="240"/>
        <w:ind w:left="709" w:right="720" w:hanging="357"/>
        <w:contextualSpacing w:val="0"/>
        <w:rPr>
          <w:rFonts w:cs="Arial"/>
          <w:color w:val="000000"/>
        </w:rPr>
      </w:pPr>
      <w:r w:rsidRPr="00B47B40">
        <w:rPr>
          <w:rFonts w:cs="Arial"/>
          <w:color w:val="000000"/>
        </w:rPr>
        <w:t xml:space="preserve">obsolete or condemned articles and stores, which may be disposed of in accordance with the supplies policy of the </w:t>
      </w:r>
      <w:r w:rsidR="000C22EE">
        <w:rPr>
          <w:rFonts w:cs="Arial"/>
          <w:color w:val="000000"/>
        </w:rPr>
        <w:t>ICB</w:t>
      </w:r>
      <w:r w:rsidRPr="00B47B40">
        <w:rPr>
          <w:rFonts w:cs="Arial"/>
          <w:color w:val="000000"/>
        </w:rPr>
        <w:t>;</w:t>
      </w:r>
    </w:p>
    <w:p w14:paraId="572F81EC" w14:textId="1992CA7A" w:rsidR="00B47B40" w:rsidRPr="00B47B40" w:rsidRDefault="00B47B40" w:rsidP="0074740C">
      <w:pPr>
        <w:pStyle w:val="ListParagraph"/>
        <w:numPr>
          <w:ilvl w:val="0"/>
          <w:numId w:val="37"/>
        </w:numPr>
        <w:spacing w:before="120" w:after="240"/>
        <w:ind w:left="709" w:right="720" w:hanging="357"/>
        <w:contextualSpacing w:val="0"/>
        <w:rPr>
          <w:rFonts w:cs="Arial"/>
        </w:rPr>
      </w:pPr>
      <w:r w:rsidRPr="00B47B40">
        <w:rPr>
          <w:rFonts w:cs="Arial"/>
        </w:rPr>
        <w:t>items to be disposed of with an estimated sale value of less than £1</w:t>
      </w:r>
      <w:r w:rsidR="00EA1A3B">
        <w:rPr>
          <w:rFonts w:cs="Arial"/>
        </w:rPr>
        <w:t>,000</w:t>
      </w:r>
      <w:r w:rsidR="00EF139A">
        <w:rPr>
          <w:rFonts w:cs="Arial"/>
        </w:rPr>
        <w:t>;</w:t>
      </w:r>
      <w:r w:rsidRPr="00B47B40">
        <w:rPr>
          <w:rFonts w:cs="Arial"/>
        </w:rPr>
        <w:t xml:space="preserve"> </w:t>
      </w:r>
    </w:p>
    <w:p w14:paraId="5498232F" w14:textId="46EA2766" w:rsidR="00B47B40" w:rsidRPr="00B47B40" w:rsidRDefault="00B47B40" w:rsidP="0074740C">
      <w:pPr>
        <w:pStyle w:val="ListParagraph"/>
        <w:numPr>
          <w:ilvl w:val="0"/>
          <w:numId w:val="37"/>
        </w:numPr>
        <w:spacing w:before="120" w:after="240"/>
        <w:ind w:left="709" w:right="720" w:hanging="357"/>
        <w:contextualSpacing w:val="0"/>
        <w:rPr>
          <w:rFonts w:cs="Arial"/>
          <w:color w:val="000000"/>
        </w:rPr>
      </w:pPr>
      <w:r w:rsidRPr="00B47B40">
        <w:rPr>
          <w:rFonts w:cs="Arial"/>
          <w:color w:val="000000"/>
        </w:rPr>
        <w:t>items arising from works of construction, demolition or site clearance, which should be dealt with in accordance with the relevant contract;</w:t>
      </w:r>
    </w:p>
    <w:p w14:paraId="6B8AA3DA" w14:textId="4480A26A" w:rsidR="00B47B40" w:rsidRDefault="00B47B40" w:rsidP="0074740C">
      <w:pPr>
        <w:pStyle w:val="ListParagraph"/>
        <w:numPr>
          <w:ilvl w:val="0"/>
          <w:numId w:val="37"/>
        </w:numPr>
        <w:spacing w:before="120" w:after="240"/>
        <w:ind w:left="709" w:right="720" w:hanging="357"/>
        <w:contextualSpacing w:val="0"/>
        <w:rPr>
          <w:rFonts w:cs="Arial"/>
          <w:color w:val="000000"/>
        </w:rPr>
      </w:pPr>
      <w:r w:rsidRPr="00B47B40">
        <w:rPr>
          <w:rFonts w:cs="Arial"/>
          <w:color w:val="000000"/>
        </w:rPr>
        <w:t>lan</w:t>
      </w:r>
      <w:r w:rsidRPr="00574B74">
        <w:rPr>
          <w:rFonts w:cs="Arial"/>
          <w:color w:val="auto"/>
        </w:rPr>
        <w:t>d or buildings concerning which Department of Health</w:t>
      </w:r>
      <w:r w:rsidR="00A10769" w:rsidRPr="00574B74">
        <w:rPr>
          <w:rFonts w:cs="Arial"/>
          <w:color w:val="auto"/>
        </w:rPr>
        <w:t xml:space="preserve"> and Social Care</w:t>
      </w:r>
      <w:r w:rsidRPr="00574B74">
        <w:rPr>
          <w:rFonts w:cs="Arial"/>
          <w:color w:val="auto"/>
        </w:rPr>
        <w:t xml:space="preserve"> </w:t>
      </w:r>
      <w:r w:rsidRPr="00B47B40">
        <w:rPr>
          <w:rFonts w:cs="Arial"/>
          <w:color w:val="000000"/>
        </w:rPr>
        <w:t>guidance has been issued but subject to compliance with such guidance.</w:t>
      </w:r>
      <w:r w:rsidR="00697B87">
        <w:rPr>
          <w:rFonts w:cs="Arial"/>
          <w:color w:val="000000"/>
        </w:rPr>
        <w:t xml:space="preserve"> </w:t>
      </w:r>
    </w:p>
    <w:p w14:paraId="2F7A2916" w14:textId="0CD3925B" w:rsidR="00FA5CCB" w:rsidRPr="002A6450" w:rsidRDefault="00FA5CCB" w:rsidP="00171ABE">
      <w:pPr>
        <w:pStyle w:val="Heading2Numbered"/>
        <w:spacing w:before="360"/>
        <w:ind w:left="0"/>
        <w:rPr>
          <w:color w:val="002060"/>
        </w:rPr>
      </w:pPr>
      <w:bookmarkStart w:id="37" w:name="_Toc230249779"/>
      <w:r w:rsidRPr="002A6450">
        <w:rPr>
          <w:color w:val="002060"/>
        </w:rPr>
        <w:lastRenderedPageBreak/>
        <w:t xml:space="preserve">Personnel, </w:t>
      </w:r>
      <w:r w:rsidR="001F4B8B" w:rsidRPr="002A6450">
        <w:rPr>
          <w:color w:val="002060"/>
        </w:rPr>
        <w:t>agency,</w:t>
      </w:r>
      <w:r w:rsidRPr="002A6450">
        <w:rPr>
          <w:color w:val="002060"/>
        </w:rPr>
        <w:t xml:space="preserve"> or </w:t>
      </w:r>
      <w:r w:rsidR="006F40AA" w:rsidRPr="002A6450">
        <w:rPr>
          <w:color w:val="002060"/>
        </w:rPr>
        <w:t>t</w:t>
      </w:r>
      <w:r w:rsidRPr="002A6450">
        <w:rPr>
          <w:color w:val="002060"/>
        </w:rPr>
        <w:t xml:space="preserve">emporary </w:t>
      </w:r>
      <w:r w:rsidR="006F40AA" w:rsidRPr="002A6450">
        <w:rPr>
          <w:color w:val="002060"/>
        </w:rPr>
        <w:t>s</w:t>
      </w:r>
      <w:r w:rsidRPr="002A6450">
        <w:rPr>
          <w:color w:val="002060"/>
        </w:rPr>
        <w:t xml:space="preserve">taff </w:t>
      </w:r>
      <w:r w:rsidR="006F40AA" w:rsidRPr="002A6450">
        <w:rPr>
          <w:color w:val="002060"/>
        </w:rPr>
        <w:t>c</w:t>
      </w:r>
      <w:r w:rsidRPr="002A6450">
        <w:rPr>
          <w:color w:val="002060"/>
        </w:rPr>
        <w:t>ontracts</w:t>
      </w:r>
      <w:bookmarkEnd w:id="37"/>
      <w:r w:rsidRPr="002A6450">
        <w:rPr>
          <w:color w:val="002060"/>
        </w:rPr>
        <w:t xml:space="preserve">       </w:t>
      </w:r>
    </w:p>
    <w:p w14:paraId="54877D02" w14:textId="562A15AD" w:rsidR="00EA1A3B" w:rsidRPr="00574B74" w:rsidRDefault="00FA5CCB" w:rsidP="0070678C">
      <w:pPr>
        <w:pStyle w:val="Heading3Numbered"/>
      </w:pPr>
      <w:r w:rsidRPr="00574B74">
        <w:t xml:space="preserve">The Chief Executive Officer shall ensure compliance with instructions issued by Department of Health </w:t>
      </w:r>
      <w:r w:rsidR="00A10769" w:rsidRPr="00574B74">
        <w:t xml:space="preserve">and Social Care </w:t>
      </w:r>
      <w:r w:rsidRPr="00574B74">
        <w:t xml:space="preserve">and NHS England.  The Chief Executive Officer shall nominate officers with delegated authority to </w:t>
      </w:r>
      <w:proofErr w:type="gramStart"/>
      <w:r w:rsidRPr="00574B74">
        <w:t>enter into</w:t>
      </w:r>
      <w:proofErr w:type="gramEnd"/>
      <w:r w:rsidRPr="00574B74">
        <w:t xml:space="preserve"> contracts of employment, regarding staff, agency staff or temporary staff service contracts</w:t>
      </w:r>
      <w:r w:rsidR="008C78FA" w:rsidRPr="00574B74">
        <w:t xml:space="preserve"> and put in place any necessary arrangements in relation to vacancy control before recruitment and to manage risks associated with organisational change.  </w:t>
      </w:r>
      <w:r w:rsidRPr="00574B74">
        <w:t xml:space="preserve">  </w:t>
      </w:r>
    </w:p>
    <w:p w14:paraId="034233D2" w14:textId="12000E44" w:rsidR="00170A8E" w:rsidRPr="00574B74" w:rsidRDefault="00FA5CCB" w:rsidP="0070678C">
      <w:pPr>
        <w:pStyle w:val="Heading3Numbered"/>
        <w:rPr>
          <w:color w:val="auto"/>
        </w:rPr>
      </w:pPr>
      <w:r w:rsidRPr="007107DF">
        <w:t xml:space="preserve">Where a role is as a </w:t>
      </w:r>
      <w:r w:rsidR="0032611D">
        <w:t>Board</w:t>
      </w:r>
      <w:r w:rsidRPr="007107DF">
        <w:t xml:space="preserve"> Member or senior official, these must be in line with the 2012 HMT Review of Tax Arrangements for Public Sector Appointees, the HMT guidance “Managing Public Money” instructions from the Department of </w:t>
      </w:r>
      <w:r w:rsidRPr="00574B74">
        <w:rPr>
          <w:color w:val="auto"/>
        </w:rPr>
        <w:t>Health</w:t>
      </w:r>
      <w:r w:rsidR="00A10769" w:rsidRPr="00574B74">
        <w:rPr>
          <w:color w:val="auto"/>
        </w:rPr>
        <w:t xml:space="preserve"> and Social Care</w:t>
      </w:r>
      <w:r w:rsidRPr="00574B74">
        <w:rPr>
          <w:color w:val="auto"/>
        </w:rPr>
        <w:t xml:space="preserve"> for the reimbursement of </w:t>
      </w:r>
      <w:r w:rsidR="0032611D">
        <w:t>Board</w:t>
      </w:r>
      <w:r w:rsidRPr="00574B74">
        <w:rPr>
          <w:color w:val="auto"/>
        </w:rPr>
        <w:t xml:space="preserve"> members and senior officials, and the ICB </w:t>
      </w:r>
      <w:r w:rsidR="005243D3" w:rsidRPr="00574B74">
        <w:rPr>
          <w:color w:val="auto"/>
        </w:rPr>
        <w:t>Constitution</w:t>
      </w:r>
      <w:r w:rsidR="00170A8E" w:rsidRPr="00574B74">
        <w:rPr>
          <w:color w:val="auto"/>
        </w:rPr>
        <w:t>.</w:t>
      </w:r>
    </w:p>
    <w:p w14:paraId="0CDDC6C2" w14:textId="37249156" w:rsidR="00170A8E" w:rsidRPr="00574B74" w:rsidRDefault="00170A8E" w:rsidP="0070678C">
      <w:pPr>
        <w:pStyle w:val="Heading3Numbered"/>
      </w:pPr>
      <w:r w:rsidRPr="00574B74">
        <w:t xml:space="preserve">Board appointments will be </w:t>
      </w:r>
      <w:r w:rsidR="000924C5" w:rsidRPr="00574B74">
        <w:t xml:space="preserve">made in accordance </w:t>
      </w:r>
      <w:r w:rsidRPr="00574B74">
        <w:t>with the Fit and Proper Person (FPP) test requirements.</w:t>
      </w:r>
    </w:p>
    <w:p w14:paraId="1771DEF6" w14:textId="23C291E8" w:rsidR="006F40AA" w:rsidRPr="002A6450" w:rsidRDefault="006F40AA" w:rsidP="00171ABE">
      <w:pPr>
        <w:pStyle w:val="Heading2Numbered"/>
        <w:spacing w:before="360"/>
        <w:ind w:left="0"/>
        <w:rPr>
          <w:color w:val="002060"/>
        </w:rPr>
      </w:pPr>
      <w:bookmarkStart w:id="38" w:name="_Toc230249780"/>
      <w:r w:rsidRPr="002A6450">
        <w:rPr>
          <w:color w:val="002060"/>
        </w:rPr>
        <w:t>Authorisation of contracts</w:t>
      </w:r>
      <w:r w:rsidR="00EF139A" w:rsidRPr="002A6450">
        <w:rPr>
          <w:color w:val="002060"/>
        </w:rPr>
        <w:t xml:space="preserve"> and grants</w:t>
      </w:r>
      <w:bookmarkEnd w:id="38"/>
    </w:p>
    <w:p w14:paraId="4F87209C" w14:textId="120943EC" w:rsidR="009B3005" w:rsidRDefault="009B3005" w:rsidP="0070678C">
      <w:pPr>
        <w:pStyle w:val="Heading3Numbered"/>
      </w:pPr>
      <w:r w:rsidRPr="00A30F16">
        <w:t xml:space="preserve">Providing all the conditions and circumstances set out in these Standing Financial Instructions have been fully complied with </w:t>
      </w:r>
      <w:r w:rsidRPr="00574B74">
        <w:rPr>
          <w:color w:val="auto"/>
        </w:rPr>
        <w:t xml:space="preserve">the </w:t>
      </w:r>
      <w:r w:rsidRPr="00A30F16">
        <w:t xml:space="preserve">formal </w:t>
      </w:r>
      <w:r w:rsidRPr="00BB6F9A">
        <w:t xml:space="preserve">authorisation and awarding </w:t>
      </w:r>
      <w:r w:rsidRPr="00A30F16">
        <w:t xml:space="preserve">of a contract </w:t>
      </w:r>
      <w:r w:rsidR="00697B87" w:rsidRPr="00FC02FE">
        <w:rPr>
          <w:color w:val="auto"/>
        </w:rPr>
        <w:t>or grant agreement</w:t>
      </w:r>
      <w:r w:rsidR="00697B87" w:rsidRPr="00697B87">
        <w:rPr>
          <w:color w:val="FF0000"/>
        </w:rPr>
        <w:t xml:space="preserve"> </w:t>
      </w:r>
      <w:r w:rsidRPr="00997D10">
        <w:rPr>
          <w:color w:val="auto"/>
        </w:rPr>
        <w:t xml:space="preserve">is delegated to </w:t>
      </w:r>
      <w:r w:rsidRPr="00A30F16">
        <w:t>the following staff within +/- 10 percent of the authorised tender value as follows (</w:t>
      </w:r>
      <w:r w:rsidR="00734D43">
        <w:t>excluding</w:t>
      </w:r>
      <w:r w:rsidR="004674E6">
        <w:t xml:space="preserve"> recoverable</w:t>
      </w:r>
      <w:r>
        <w:t xml:space="preserve"> </w:t>
      </w:r>
      <w:r w:rsidRPr="00A30F16">
        <w:t>VAT):</w:t>
      </w:r>
      <w:r w:rsidR="00734D43">
        <w:br/>
      </w:r>
    </w:p>
    <w:tbl>
      <w:tblPr>
        <w:tblStyle w:val="TableGrid"/>
        <w:tblW w:w="8891" w:type="dxa"/>
        <w:tblInd w:w="416" w:type="dxa"/>
        <w:tblLook w:val="04A0" w:firstRow="1" w:lastRow="0" w:firstColumn="1" w:lastColumn="0" w:noHBand="0" w:noVBand="1"/>
      </w:tblPr>
      <w:tblGrid>
        <w:gridCol w:w="4824"/>
        <w:gridCol w:w="1843"/>
        <w:gridCol w:w="2224"/>
      </w:tblGrid>
      <w:tr w:rsidR="00734D43" w14:paraId="6EE54397" w14:textId="77777777" w:rsidTr="001C168E">
        <w:tc>
          <w:tcPr>
            <w:tcW w:w="4824" w:type="dxa"/>
            <w:tcBorders>
              <w:bottom w:val="single" w:sz="4" w:space="0" w:color="auto"/>
            </w:tcBorders>
          </w:tcPr>
          <w:p w14:paraId="50F57DEA" w14:textId="77777777" w:rsidR="00734D43" w:rsidRDefault="00734D43" w:rsidP="001C168E">
            <w:pPr>
              <w:pStyle w:val="BodyText"/>
              <w:spacing w:after="120" w:line="240" w:lineRule="auto"/>
            </w:pPr>
            <w:r>
              <w:t>Approval level</w:t>
            </w:r>
          </w:p>
        </w:tc>
        <w:tc>
          <w:tcPr>
            <w:tcW w:w="1843" w:type="dxa"/>
            <w:tcBorders>
              <w:bottom w:val="single" w:sz="4" w:space="0" w:color="auto"/>
            </w:tcBorders>
          </w:tcPr>
          <w:p w14:paraId="74EC5BF0" w14:textId="77777777" w:rsidR="00734D43" w:rsidRDefault="00734D43" w:rsidP="001C168E">
            <w:pPr>
              <w:pStyle w:val="BodyText"/>
              <w:spacing w:after="120" w:line="240" w:lineRule="auto"/>
              <w:jc w:val="center"/>
            </w:pPr>
            <w:r>
              <w:t>Annual value</w:t>
            </w:r>
          </w:p>
        </w:tc>
        <w:tc>
          <w:tcPr>
            <w:tcW w:w="2224" w:type="dxa"/>
            <w:tcBorders>
              <w:bottom w:val="single" w:sz="4" w:space="0" w:color="auto"/>
            </w:tcBorders>
          </w:tcPr>
          <w:p w14:paraId="2A8FEF8A" w14:textId="77777777" w:rsidR="00734D43" w:rsidRDefault="00734D43" w:rsidP="001C168E">
            <w:pPr>
              <w:pStyle w:val="BodyText"/>
              <w:spacing w:after="120" w:line="240" w:lineRule="auto"/>
              <w:jc w:val="center"/>
            </w:pPr>
            <w:r>
              <w:t>Total lifecycle value</w:t>
            </w:r>
          </w:p>
        </w:tc>
      </w:tr>
      <w:tr w:rsidR="00734D43" w14:paraId="6D56FB82" w14:textId="77777777" w:rsidTr="001C168E">
        <w:tc>
          <w:tcPr>
            <w:tcW w:w="4824" w:type="dxa"/>
            <w:tcBorders>
              <w:top w:val="single" w:sz="4" w:space="0" w:color="auto"/>
            </w:tcBorders>
          </w:tcPr>
          <w:p w14:paraId="6C5EFC7A" w14:textId="5D205334" w:rsidR="00734D43" w:rsidRDefault="00734D43" w:rsidP="0074740C">
            <w:pPr>
              <w:pStyle w:val="BodyText"/>
              <w:spacing w:after="120"/>
            </w:pPr>
            <w:r>
              <w:t xml:space="preserve">Designated Budget Holders with </w:t>
            </w:r>
            <w:r w:rsidR="0016726D">
              <w:t>Associate Director of Finance</w:t>
            </w:r>
          </w:p>
        </w:tc>
        <w:tc>
          <w:tcPr>
            <w:tcW w:w="1843" w:type="dxa"/>
            <w:tcBorders>
              <w:top w:val="single" w:sz="4" w:space="0" w:color="auto"/>
            </w:tcBorders>
          </w:tcPr>
          <w:p w14:paraId="1308C1A5" w14:textId="77777777" w:rsidR="00734D43" w:rsidRDefault="00734D43" w:rsidP="001C168E">
            <w:pPr>
              <w:pStyle w:val="BodyText"/>
              <w:spacing w:after="120" w:line="240" w:lineRule="auto"/>
              <w:jc w:val="center"/>
            </w:pPr>
            <w:r>
              <w:t>£100k</w:t>
            </w:r>
          </w:p>
        </w:tc>
        <w:tc>
          <w:tcPr>
            <w:tcW w:w="2224" w:type="dxa"/>
            <w:tcBorders>
              <w:top w:val="single" w:sz="4" w:space="0" w:color="auto"/>
            </w:tcBorders>
          </w:tcPr>
          <w:p w14:paraId="51F98B04" w14:textId="77777777" w:rsidR="00734D43" w:rsidRDefault="00734D43" w:rsidP="001C168E">
            <w:pPr>
              <w:pStyle w:val="BodyText"/>
              <w:spacing w:after="120" w:line="240" w:lineRule="auto"/>
              <w:jc w:val="center"/>
            </w:pPr>
            <w:r>
              <w:t>&lt;£400k</w:t>
            </w:r>
          </w:p>
        </w:tc>
      </w:tr>
      <w:tr w:rsidR="00734D43" w14:paraId="743A2F34" w14:textId="77777777" w:rsidTr="001C168E">
        <w:tc>
          <w:tcPr>
            <w:tcW w:w="4824" w:type="dxa"/>
          </w:tcPr>
          <w:p w14:paraId="3CFB8903" w14:textId="77777777" w:rsidR="00734D43" w:rsidRDefault="00734D43" w:rsidP="001C168E">
            <w:pPr>
              <w:pStyle w:val="BodyText"/>
              <w:spacing w:after="120" w:line="240" w:lineRule="auto"/>
            </w:pPr>
            <w:r>
              <w:t>Lead Chief Officer</w:t>
            </w:r>
          </w:p>
        </w:tc>
        <w:tc>
          <w:tcPr>
            <w:tcW w:w="1843" w:type="dxa"/>
          </w:tcPr>
          <w:p w14:paraId="18C40964" w14:textId="77777777" w:rsidR="00734D43" w:rsidRDefault="00734D43" w:rsidP="001C168E">
            <w:pPr>
              <w:pStyle w:val="BodyText"/>
              <w:spacing w:after="120" w:line="240" w:lineRule="auto"/>
              <w:jc w:val="center"/>
            </w:pPr>
            <w:r>
              <w:t>&lt;£1m</w:t>
            </w:r>
          </w:p>
        </w:tc>
        <w:tc>
          <w:tcPr>
            <w:tcW w:w="2224" w:type="dxa"/>
          </w:tcPr>
          <w:p w14:paraId="33A8F7E1" w14:textId="77777777" w:rsidR="00734D43" w:rsidRDefault="00734D43" w:rsidP="001C168E">
            <w:pPr>
              <w:pStyle w:val="BodyText"/>
              <w:spacing w:after="120" w:line="240" w:lineRule="auto"/>
              <w:jc w:val="center"/>
            </w:pPr>
            <w:r>
              <w:t>&lt;£4m</w:t>
            </w:r>
          </w:p>
        </w:tc>
      </w:tr>
      <w:tr w:rsidR="00734D43" w14:paraId="6B824A88" w14:textId="77777777" w:rsidTr="001C168E">
        <w:tc>
          <w:tcPr>
            <w:tcW w:w="4824" w:type="dxa"/>
          </w:tcPr>
          <w:p w14:paraId="7731CE21" w14:textId="2BA3C01A" w:rsidR="00734D43" w:rsidRDefault="00734D43" w:rsidP="001C168E">
            <w:pPr>
              <w:pStyle w:val="BodyText"/>
              <w:spacing w:after="120" w:line="240" w:lineRule="auto"/>
            </w:pPr>
            <w:r>
              <w:t>Chief Finance</w:t>
            </w:r>
            <w:r w:rsidR="0016726D">
              <w:t xml:space="preserve"> </w:t>
            </w:r>
            <w:r>
              <w:t xml:space="preserve">Officer </w:t>
            </w:r>
            <w:r w:rsidRPr="001C168E">
              <w:rPr>
                <w:b/>
                <w:bCs/>
                <w:u w:val="single"/>
              </w:rPr>
              <w:t>or</w:t>
            </w:r>
            <w:r>
              <w:t xml:space="preserve"> Chief Executive Officer</w:t>
            </w:r>
          </w:p>
        </w:tc>
        <w:tc>
          <w:tcPr>
            <w:tcW w:w="1843" w:type="dxa"/>
          </w:tcPr>
          <w:p w14:paraId="4CBDCC16" w14:textId="77777777" w:rsidR="00734D43" w:rsidRDefault="00734D43" w:rsidP="001C168E">
            <w:pPr>
              <w:pStyle w:val="BodyText"/>
              <w:spacing w:after="120" w:line="240" w:lineRule="auto"/>
              <w:jc w:val="center"/>
            </w:pPr>
            <w:r>
              <w:t>&lt;£5m</w:t>
            </w:r>
          </w:p>
        </w:tc>
        <w:tc>
          <w:tcPr>
            <w:tcW w:w="2224" w:type="dxa"/>
          </w:tcPr>
          <w:p w14:paraId="284B4AD3" w14:textId="77777777" w:rsidR="00734D43" w:rsidRDefault="00734D43" w:rsidP="001C168E">
            <w:pPr>
              <w:pStyle w:val="BodyText"/>
              <w:spacing w:after="120" w:line="240" w:lineRule="auto"/>
              <w:jc w:val="center"/>
            </w:pPr>
            <w:r>
              <w:t>&lt;£20m</w:t>
            </w:r>
          </w:p>
        </w:tc>
      </w:tr>
      <w:tr w:rsidR="00734D43" w14:paraId="215C2553" w14:textId="77777777" w:rsidTr="001C168E">
        <w:tc>
          <w:tcPr>
            <w:tcW w:w="4824" w:type="dxa"/>
          </w:tcPr>
          <w:p w14:paraId="007220FF" w14:textId="26E12431" w:rsidR="00734D43" w:rsidRDefault="00734D43" w:rsidP="001C168E">
            <w:pPr>
              <w:pStyle w:val="BodyText"/>
              <w:spacing w:after="120" w:line="240" w:lineRule="auto"/>
            </w:pPr>
            <w:r>
              <w:t xml:space="preserve">ICB Board </w:t>
            </w:r>
          </w:p>
        </w:tc>
        <w:tc>
          <w:tcPr>
            <w:tcW w:w="1843" w:type="dxa"/>
          </w:tcPr>
          <w:p w14:paraId="3568852B" w14:textId="77777777" w:rsidR="00734D43" w:rsidRDefault="00734D43" w:rsidP="001C168E">
            <w:pPr>
              <w:pStyle w:val="BodyText"/>
              <w:spacing w:after="120" w:line="240" w:lineRule="auto"/>
              <w:jc w:val="center"/>
            </w:pPr>
            <w:r>
              <w:t>&gt;£5m</w:t>
            </w:r>
          </w:p>
        </w:tc>
        <w:tc>
          <w:tcPr>
            <w:tcW w:w="2224" w:type="dxa"/>
          </w:tcPr>
          <w:p w14:paraId="05C994BF" w14:textId="77777777" w:rsidR="00734D43" w:rsidRDefault="00734D43" w:rsidP="001C168E">
            <w:pPr>
              <w:pStyle w:val="BodyText"/>
              <w:spacing w:after="120" w:line="240" w:lineRule="auto"/>
              <w:jc w:val="center"/>
            </w:pPr>
            <w:r>
              <w:t>&gt;£20m</w:t>
            </w:r>
          </w:p>
        </w:tc>
      </w:tr>
    </w:tbl>
    <w:p w14:paraId="344154ED" w14:textId="111D950C" w:rsidR="009B3005" w:rsidRDefault="009B3005" w:rsidP="0070678C">
      <w:pPr>
        <w:pStyle w:val="Heading3Numbered"/>
      </w:pPr>
      <w:r w:rsidRPr="009B3005">
        <w:t>All tenders that will be, or are forecast to be, greater than, the authorised tender value by +/- 10 percent or exceed the designated budget holder shall be escalated to the next level</w:t>
      </w:r>
      <w:r w:rsidR="00226478">
        <w:t>.</w:t>
      </w:r>
    </w:p>
    <w:p w14:paraId="09844388" w14:textId="41BF7AA7" w:rsidR="009B3005" w:rsidRPr="00997D10" w:rsidRDefault="009B3005" w:rsidP="009B3005">
      <w:pPr>
        <w:pStyle w:val="BodyText"/>
        <w:spacing w:before="120" w:after="120" w:line="240" w:lineRule="auto"/>
        <w:rPr>
          <w:color w:val="auto"/>
        </w:rPr>
      </w:pPr>
    </w:p>
    <w:p w14:paraId="3FC92013" w14:textId="0CD29924" w:rsidR="00BB6F9A" w:rsidRPr="00106B94" w:rsidRDefault="00BB6F9A" w:rsidP="00BB6F9A">
      <w:pPr>
        <w:pStyle w:val="Heading2Numbered"/>
        <w:spacing w:before="360"/>
        <w:ind w:left="0"/>
      </w:pPr>
      <w:bookmarkStart w:id="39" w:name="_Toc230249781"/>
      <w:r w:rsidRPr="00106B94">
        <w:lastRenderedPageBreak/>
        <w:t>Signing of contracts</w:t>
      </w:r>
      <w:r w:rsidR="00697B87">
        <w:t xml:space="preserve"> </w:t>
      </w:r>
      <w:r w:rsidR="00697B87" w:rsidRPr="00FC02FE">
        <w:t>and grant agreements</w:t>
      </w:r>
      <w:bookmarkEnd w:id="39"/>
    </w:p>
    <w:p w14:paraId="426F0C87" w14:textId="515F3990" w:rsidR="008C78FA" w:rsidRDefault="008C78FA" w:rsidP="0070678C">
      <w:pPr>
        <w:pStyle w:val="Heading3Numbered"/>
      </w:pPr>
      <w:r w:rsidRPr="009B3005">
        <w:t xml:space="preserve">Providing all the conditions and circumstances set out in these Standing Financial Instructions, including the authorisation and awarding of contracts </w:t>
      </w:r>
      <w:r w:rsidR="00697B87" w:rsidRPr="00FC02FE">
        <w:t xml:space="preserve">and grant agreements </w:t>
      </w:r>
      <w:r w:rsidRPr="009B3005">
        <w:t>in section 8, have been fully complied with the formal signing of a contract is delegated as follows:</w:t>
      </w:r>
      <w:r w:rsidR="0074740C">
        <w:br/>
      </w:r>
    </w:p>
    <w:tbl>
      <w:tblPr>
        <w:tblStyle w:val="TableGrid"/>
        <w:tblW w:w="8891" w:type="dxa"/>
        <w:tblInd w:w="416" w:type="dxa"/>
        <w:tblLook w:val="04A0" w:firstRow="1" w:lastRow="0" w:firstColumn="1" w:lastColumn="0" w:noHBand="0" w:noVBand="1"/>
      </w:tblPr>
      <w:tblGrid>
        <w:gridCol w:w="4824"/>
        <w:gridCol w:w="1843"/>
        <w:gridCol w:w="2224"/>
      </w:tblGrid>
      <w:tr w:rsidR="0074740C" w14:paraId="2F46B67E" w14:textId="77777777" w:rsidTr="001C168E">
        <w:tc>
          <w:tcPr>
            <w:tcW w:w="4824" w:type="dxa"/>
            <w:tcBorders>
              <w:bottom w:val="single" w:sz="4" w:space="0" w:color="auto"/>
            </w:tcBorders>
          </w:tcPr>
          <w:p w14:paraId="553ACFD3" w14:textId="77777777" w:rsidR="0074740C" w:rsidRDefault="0074740C" w:rsidP="001C168E">
            <w:pPr>
              <w:pStyle w:val="BodyText"/>
              <w:spacing w:after="120" w:line="240" w:lineRule="auto"/>
            </w:pPr>
            <w:r>
              <w:t>Approval level</w:t>
            </w:r>
          </w:p>
        </w:tc>
        <w:tc>
          <w:tcPr>
            <w:tcW w:w="1843" w:type="dxa"/>
            <w:tcBorders>
              <w:bottom w:val="single" w:sz="4" w:space="0" w:color="auto"/>
            </w:tcBorders>
          </w:tcPr>
          <w:p w14:paraId="4C43A798" w14:textId="77777777" w:rsidR="0074740C" w:rsidRDefault="0074740C" w:rsidP="001C168E">
            <w:pPr>
              <w:pStyle w:val="BodyText"/>
              <w:spacing w:after="120" w:line="240" w:lineRule="auto"/>
              <w:jc w:val="center"/>
            </w:pPr>
            <w:r>
              <w:t>Annual value</w:t>
            </w:r>
          </w:p>
        </w:tc>
        <w:tc>
          <w:tcPr>
            <w:tcW w:w="2224" w:type="dxa"/>
            <w:tcBorders>
              <w:bottom w:val="single" w:sz="4" w:space="0" w:color="auto"/>
            </w:tcBorders>
          </w:tcPr>
          <w:p w14:paraId="5A81592B" w14:textId="77777777" w:rsidR="0074740C" w:rsidRDefault="0074740C" w:rsidP="001C168E">
            <w:pPr>
              <w:pStyle w:val="BodyText"/>
              <w:spacing w:after="120" w:line="240" w:lineRule="auto"/>
              <w:jc w:val="center"/>
            </w:pPr>
            <w:r>
              <w:t>Total lifecycle value</w:t>
            </w:r>
          </w:p>
        </w:tc>
      </w:tr>
      <w:tr w:rsidR="0074740C" w14:paraId="1A041F85" w14:textId="77777777" w:rsidTr="001C168E">
        <w:tc>
          <w:tcPr>
            <w:tcW w:w="4824" w:type="dxa"/>
            <w:tcBorders>
              <w:top w:val="single" w:sz="4" w:space="0" w:color="auto"/>
            </w:tcBorders>
          </w:tcPr>
          <w:p w14:paraId="46D3BA84" w14:textId="3BE9EA90" w:rsidR="0074740C" w:rsidRDefault="0074740C" w:rsidP="001C168E">
            <w:pPr>
              <w:pStyle w:val="BodyText"/>
              <w:spacing w:after="120"/>
            </w:pPr>
            <w:r>
              <w:t xml:space="preserve">Designated Budget Holders with </w:t>
            </w:r>
            <w:r w:rsidR="0016726D">
              <w:t>Associate Director of Finance</w:t>
            </w:r>
          </w:p>
        </w:tc>
        <w:tc>
          <w:tcPr>
            <w:tcW w:w="1843" w:type="dxa"/>
            <w:tcBorders>
              <w:top w:val="single" w:sz="4" w:space="0" w:color="auto"/>
            </w:tcBorders>
          </w:tcPr>
          <w:p w14:paraId="43A74361" w14:textId="77777777" w:rsidR="0074740C" w:rsidRDefault="0074740C" w:rsidP="001C168E">
            <w:pPr>
              <w:pStyle w:val="BodyText"/>
              <w:spacing w:after="120" w:line="240" w:lineRule="auto"/>
              <w:jc w:val="center"/>
            </w:pPr>
            <w:r>
              <w:t>£100k</w:t>
            </w:r>
          </w:p>
        </w:tc>
        <w:tc>
          <w:tcPr>
            <w:tcW w:w="2224" w:type="dxa"/>
            <w:tcBorders>
              <w:top w:val="single" w:sz="4" w:space="0" w:color="auto"/>
            </w:tcBorders>
          </w:tcPr>
          <w:p w14:paraId="02D0A986" w14:textId="77777777" w:rsidR="0074740C" w:rsidRDefault="0074740C" w:rsidP="001C168E">
            <w:pPr>
              <w:pStyle w:val="BodyText"/>
              <w:spacing w:after="120" w:line="240" w:lineRule="auto"/>
              <w:jc w:val="center"/>
            </w:pPr>
            <w:r>
              <w:t>&lt;£400k</w:t>
            </w:r>
          </w:p>
        </w:tc>
      </w:tr>
      <w:tr w:rsidR="0074740C" w14:paraId="0D0023B5" w14:textId="77777777" w:rsidTr="001C168E">
        <w:tc>
          <w:tcPr>
            <w:tcW w:w="4824" w:type="dxa"/>
          </w:tcPr>
          <w:p w14:paraId="2B3A00BF" w14:textId="77777777" w:rsidR="0074740C" w:rsidRDefault="0074740C" w:rsidP="001C168E">
            <w:pPr>
              <w:pStyle w:val="BodyText"/>
              <w:spacing w:after="120" w:line="240" w:lineRule="auto"/>
            </w:pPr>
            <w:r>
              <w:t>Lead Chief Officer</w:t>
            </w:r>
          </w:p>
        </w:tc>
        <w:tc>
          <w:tcPr>
            <w:tcW w:w="1843" w:type="dxa"/>
          </w:tcPr>
          <w:p w14:paraId="6B3B582E" w14:textId="77777777" w:rsidR="0074740C" w:rsidRDefault="0074740C" w:rsidP="001C168E">
            <w:pPr>
              <w:pStyle w:val="BodyText"/>
              <w:spacing w:after="120" w:line="240" w:lineRule="auto"/>
              <w:jc w:val="center"/>
            </w:pPr>
            <w:r>
              <w:t>&lt;£1m</w:t>
            </w:r>
          </w:p>
        </w:tc>
        <w:tc>
          <w:tcPr>
            <w:tcW w:w="2224" w:type="dxa"/>
          </w:tcPr>
          <w:p w14:paraId="5EB2D0C6" w14:textId="77777777" w:rsidR="0074740C" w:rsidRDefault="0074740C" w:rsidP="001C168E">
            <w:pPr>
              <w:pStyle w:val="BodyText"/>
              <w:spacing w:after="120" w:line="240" w:lineRule="auto"/>
              <w:jc w:val="center"/>
            </w:pPr>
            <w:r>
              <w:t>&lt;£4m</w:t>
            </w:r>
          </w:p>
        </w:tc>
      </w:tr>
      <w:tr w:rsidR="0074740C" w14:paraId="2A24D22A" w14:textId="77777777" w:rsidTr="001C168E">
        <w:tc>
          <w:tcPr>
            <w:tcW w:w="4824" w:type="dxa"/>
          </w:tcPr>
          <w:p w14:paraId="5966A02F" w14:textId="6D8FDDEC" w:rsidR="0074740C" w:rsidRDefault="0074740C" w:rsidP="001C168E">
            <w:pPr>
              <w:pStyle w:val="BodyText"/>
              <w:spacing w:after="120" w:line="240" w:lineRule="auto"/>
            </w:pPr>
            <w:r>
              <w:t xml:space="preserve">Chief Finance Officer </w:t>
            </w:r>
            <w:r w:rsidRPr="001C168E">
              <w:rPr>
                <w:b/>
                <w:bCs/>
                <w:u w:val="single"/>
              </w:rPr>
              <w:t>or</w:t>
            </w:r>
            <w:r>
              <w:t xml:space="preserve"> Chief Executive Officer</w:t>
            </w:r>
          </w:p>
        </w:tc>
        <w:tc>
          <w:tcPr>
            <w:tcW w:w="1843" w:type="dxa"/>
          </w:tcPr>
          <w:p w14:paraId="511C0536" w14:textId="7C444F4E" w:rsidR="0074740C" w:rsidRDefault="0074740C" w:rsidP="001C168E">
            <w:pPr>
              <w:pStyle w:val="BodyText"/>
              <w:spacing w:after="120" w:line="240" w:lineRule="auto"/>
              <w:jc w:val="center"/>
            </w:pPr>
            <w:r>
              <w:t>&lt;£500m</w:t>
            </w:r>
          </w:p>
        </w:tc>
        <w:tc>
          <w:tcPr>
            <w:tcW w:w="2224" w:type="dxa"/>
          </w:tcPr>
          <w:p w14:paraId="3B00D62A" w14:textId="1FF8CDB8" w:rsidR="0074740C" w:rsidRDefault="0074740C" w:rsidP="001C168E">
            <w:pPr>
              <w:pStyle w:val="BodyText"/>
              <w:spacing w:after="120" w:line="240" w:lineRule="auto"/>
              <w:jc w:val="center"/>
            </w:pPr>
            <w:r>
              <w:t>&lt;£2,000m</w:t>
            </w:r>
          </w:p>
        </w:tc>
      </w:tr>
      <w:tr w:rsidR="0074740C" w14:paraId="4D72A3B7" w14:textId="77777777" w:rsidTr="001C168E">
        <w:tc>
          <w:tcPr>
            <w:tcW w:w="4824" w:type="dxa"/>
          </w:tcPr>
          <w:p w14:paraId="619F64FB" w14:textId="68FA1EC3" w:rsidR="0074740C" w:rsidRDefault="0074740C" w:rsidP="001C168E">
            <w:pPr>
              <w:pStyle w:val="BodyText"/>
              <w:spacing w:after="120" w:line="240" w:lineRule="auto"/>
            </w:pPr>
            <w:r>
              <w:t xml:space="preserve">Chief Finance Officer </w:t>
            </w:r>
            <w:r>
              <w:rPr>
                <w:b/>
                <w:bCs/>
                <w:u w:val="single"/>
              </w:rPr>
              <w:t>and</w:t>
            </w:r>
            <w:r>
              <w:t xml:space="preserve"> Chief Executive Officer</w:t>
            </w:r>
          </w:p>
        </w:tc>
        <w:tc>
          <w:tcPr>
            <w:tcW w:w="1843" w:type="dxa"/>
          </w:tcPr>
          <w:p w14:paraId="3AF1D537" w14:textId="2DDE5EA5" w:rsidR="0074740C" w:rsidRDefault="0074740C" w:rsidP="001C168E">
            <w:pPr>
              <w:pStyle w:val="BodyText"/>
              <w:spacing w:after="120" w:line="240" w:lineRule="auto"/>
              <w:jc w:val="center"/>
            </w:pPr>
            <w:r>
              <w:t>&gt;£500m</w:t>
            </w:r>
          </w:p>
        </w:tc>
        <w:tc>
          <w:tcPr>
            <w:tcW w:w="2224" w:type="dxa"/>
          </w:tcPr>
          <w:p w14:paraId="6A8D6543" w14:textId="3F6A6F7B" w:rsidR="0074740C" w:rsidRDefault="0074740C" w:rsidP="001C168E">
            <w:pPr>
              <w:pStyle w:val="BodyText"/>
              <w:spacing w:after="120" w:line="240" w:lineRule="auto"/>
              <w:jc w:val="center"/>
            </w:pPr>
            <w:r>
              <w:t>&gt;£2,000m</w:t>
            </w:r>
          </w:p>
        </w:tc>
      </w:tr>
    </w:tbl>
    <w:p w14:paraId="5127852F" w14:textId="6E8F3B7E" w:rsidR="008C78FA" w:rsidRPr="009B3005" w:rsidRDefault="008C78FA" w:rsidP="0070678C">
      <w:pPr>
        <w:pStyle w:val="Heading3Numbered"/>
      </w:pPr>
      <w:r w:rsidRPr="002E7730">
        <w:t xml:space="preserve">All signed contracts </w:t>
      </w:r>
      <w:r w:rsidR="00EF139A" w:rsidRPr="002E7730">
        <w:t>and grant</w:t>
      </w:r>
      <w:r w:rsidR="00697B87" w:rsidRPr="002E7730">
        <w:t xml:space="preserve"> agreements</w:t>
      </w:r>
      <w:r w:rsidR="00EF139A" w:rsidRPr="002E7730">
        <w:t xml:space="preserve"> </w:t>
      </w:r>
      <w:r w:rsidRPr="009B3005">
        <w:t xml:space="preserve">must be recorded in the ICB’s contracts register </w:t>
      </w:r>
      <w:r w:rsidR="00B70AB7" w:rsidRPr="009B3005">
        <w:t xml:space="preserve">in line with the </w:t>
      </w:r>
      <w:r w:rsidR="00EF139A">
        <w:t>ICB</w:t>
      </w:r>
      <w:r w:rsidR="002F5371">
        <w:t xml:space="preserve"> contract management St</w:t>
      </w:r>
      <w:r w:rsidR="00B70AB7" w:rsidRPr="009B3005">
        <w:t>andard operating procedure.</w:t>
      </w:r>
    </w:p>
    <w:p w14:paraId="195291D4" w14:textId="0F4CBDF3" w:rsidR="00EA1A3B" w:rsidRPr="002A6450" w:rsidRDefault="00EA1A3B" w:rsidP="00171ABE">
      <w:pPr>
        <w:pStyle w:val="Heading2Numbered"/>
        <w:spacing w:before="360"/>
        <w:ind w:left="0"/>
        <w:rPr>
          <w:color w:val="002060"/>
        </w:rPr>
      </w:pPr>
      <w:bookmarkStart w:id="40" w:name="_Toc230249782"/>
      <w:r w:rsidRPr="002A6450">
        <w:rPr>
          <w:color w:val="002060"/>
        </w:rPr>
        <w:t>Contract variations</w:t>
      </w:r>
      <w:bookmarkEnd w:id="40"/>
      <w:r w:rsidRPr="002A6450">
        <w:rPr>
          <w:color w:val="002060"/>
        </w:rPr>
        <w:t xml:space="preserve"> </w:t>
      </w:r>
    </w:p>
    <w:p w14:paraId="0C4BF3B6" w14:textId="6FA9E9AD" w:rsidR="00EA1A3B" w:rsidRPr="009B3005" w:rsidRDefault="00EA1A3B" w:rsidP="00EA1A3B">
      <w:pPr>
        <w:pStyle w:val="BodyText"/>
        <w:rPr>
          <w:color w:val="auto"/>
        </w:rPr>
      </w:pPr>
      <w:r w:rsidRPr="009B3005">
        <w:rPr>
          <w:color w:val="auto"/>
        </w:rPr>
        <w:t xml:space="preserve">8.11.1 All contract variations </w:t>
      </w:r>
      <w:r w:rsidR="00DC34A9" w:rsidRPr="009B3005">
        <w:rPr>
          <w:color w:val="auto"/>
        </w:rPr>
        <w:t xml:space="preserve">and all supporting documents </w:t>
      </w:r>
      <w:r w:rsidRPr="009B3005">
        <w:rPr>
          <w:color w:val="auto"/>
        </w:rPr>
        <w:t>must be signed by the delegated officer roles who signed the original contract</w:t>
      </w:r>
      <w:r w:rsidR="00916153">
        <w:rPr>
          <w:color w:val="auto"/>
        </w:rPr>
        <w:t xml:space="preserve"> or the budget holder </w:t>
      </w:r>
      <w:r w:rsidR="004674E6">
        <w:rPr>
          <w:color w:val="auto"/>
        </w:rPr>
        <w:t xml:space="preserve">with appropriate level of sign-off for the size of the variation </w:t>
      </w:r>
      <w:r w:rsidR="00916153">
        <w:rPr>
          <w:color w:val="auto"/>
        </w:rPr>
        <w:t>from which the variation is being funded (for example, service-level variations within an overarching contract with an NHS Provider system partner)</w:t>
      </w:r>
      <w:r w:rsidR="00DC34A9" w:rsidRPr="009B3005">
        <w:rPr>
          <w:color w:val="auto"/>
        </w:rPr>
        <w:t>.</w:t>
      </w:r>
    </w:p>
    <w:p w14:paraId="1234C8F7" w14:textId="1591FB91" w:rsidR="006F40AA" w:rsidRPr="002A6450" w:rsidRDefault="006F40AA" w:rsidP="00171ABE">
      <w:pPr>
        <w:pStyle w:val="Heading2Numbered"/>
        <w:spacing w:before="360"/>
        <w:ind w:left="0"/>
        <w:rPr>
          <w:color w:val="002060"/>
        </w:rPr>
      </w:pPr>
      <w:bookmarkStart w:id="41" w:name="_Toc230249783"/>
      <w:r w:rsidRPr="002A6450">
        <w:rPr>
          <w:color w:val="002060"/>
        </w:rPr>
        <w:t>Compliance requirements for all contracts</w:t>
      </w:r>
      <w:r w:rsidR="00697B87" w:rsidRPr="002A6450">
        <w:rPr>
          <w:color w:val="002060"/>
        </w:rPr>
        <w:t xml:space="preserve"> and grant agreements</w:t>
      </w:r>
      <w:bookmarkEnd w:id="41"/>
    </w:p>
    <w:p w14:paraId="67E010FB" w14:textId="192C1715" w:rsidR="008473E4" w:rsidRPr="009B3005" w:rsidRDefault="008473E4" w:rsidP="0070678C">
      <w:pPr>
        <w:pStyle w:val="Heading3Numbered"/>
      </w:pPr>
      <w:r w:rsidRPr="009B3005">
        <w:t xml:space="preserve">The Board </w:t>
      </w:r>
      <w:r w:rsidR="00EA1A3B" w:rsidRPr="009B3005">
        <w:t xml:space="preserve">and delegated officers </w:t>
      </w:r>
      <w:r w:rsidRPr="009B3005">
        <w:t xml:space="preserve">may only </w:t>
      </w:r>
      <w:proofErr w:type="gramStart"/>
      <w:r w:rsidRPr="009B3005">
        <w:t>enter into</w:t>
      </w:r>
      <w:proofErr w:type="gramEnd"/>
      <w:r w:rsidRPr="009B3005">
        <w:t xml:space="preserve"> contracts </w:t>
      </w:r>
      <w:r w:rsidR="00697B87" w:rsidRPr="00FC02FE">
        <w:t xml:space="preserve">or grant agreements </w:t>
      </w:r>
      <w:r w:rsidRPr="00FC02FE">
        <w:t xml:space="preserve">on behalf of the ICB within the statutory powers delegated </w:t>
      </w:r>
      <w:r w:rsidRPr="009B3005">
        <w:t>to it by the Secretary of State and shall comply with:</w:t>
      </w:r>
    </w:p>
    <w:p w14:paraId="19F86D17" w14:textId="7F86BD3E" w:rsidR="008473E4" w:rsidRPr="009B3005" w:rsidRDefault="008473E4" w:rsidP="0074740C">
      <w:pPr>
        <w:pStyle w:val="ListParagraph"/>
        <w:numPr>
          <w:ilvl w:val="0"/>
          <w:numId w:val="36"/>
        </w:numPr>
        <w:spacing w:before="120" w:after="120"/>
        <w:ind w:left="1134" w:right="720" w:hanging="567"/>
        <w:contextualSpacing w:val="0"/>
        <w:rPr>
          <w:rFonts w:cs="Arial"/>
          <w:color w:val="auto"/>
        </w:rPr>
      </w:pPr>
      <w:r w:rsidRPr="009B3005">
        <w:rPr>
          <w:rFonts w:cs="Arial"/>
          <w:color w:val="auto"/>
        </w:rPr>
        <w:t xml:space="preserve">the </w:t>
      </w:r>
      <w:r w:rsidR="000C22EE" w:rsidRPr="009B3005">
        <w:rPr>
          <w:rFonts w:cs="Arial"/>
          <w:color w:val="auto"/>
        </w:rPr>
        <w:t>ICB</w:t>
      </w:r>
      <w:r w:rsidRPr="009B3005">
        <w:rPr>
          <w:rFonts w:cs="Arial"/>
          <w:color w:val="auto"/>
        </w:rPr>
        <w:t>'s Constitution and Standing Financial Instructions;</w:t>
      </w:r>
    </w:p>
    <w:p w14:paraId="6A7DC127" w14:textId="12376E5B" w:rsidR="008473E4" w:rsidRPr="009B3005" w:rsidRDefault="00697B87" w:rsidP="0074740C">
      <w:pPr>
        <w:pStyle w:val="ListParagraph"/>
        <w:numPr>
          <w:ilvl w:val="0"/>
          <w:numId w:val="36"/>
        </w:numPr>
        <w:spacing w:before="120" w:after="120"/>
        <w:ind w:left="1134" w:right="720" w:hanging="567"/>
        <w:contextualSpacing w:val="0"/>
        <w:rPr>
          <w:rFonts w:cs="Arial"/>
          <w:color w:val="auto"/>
        </w:rPr>
      </w:pPr>
      <w:r>
        <w:rPr>
          <w:rFonts w:cs="Arial"/>
          <w:color w:val="auto"/>
        </w:rPr>
        <w:t>d</w:t>
      </w:r>
      <w:r w:rsidR="008473E4" w:rsidRPr="009B3005">
        <w:rPr>
          <w:rFonts w:cs="Arial"/>
          <w:color w:val="auto"/>
        </w:rPr>
        <w:t>irectives and other statutory provisions, so long as they continue to apply as a matter of law;</w:t>
      </w:r>
    </w:p>
    <w:p w14:paraId="7567DF0A" w14:textId="76BFFDBC" w:rsidR="008473E4" w:rsidRPr="009B3005" w:rsidRDefault="008473E4" w:rsidP="0074740C">
      <w:pPr>
        <w:pStyle w:val="ListParagraph"/>
        <w:numPr>
          <w:ilvl w:val="0"/>
          <w:numId w:val="36"/>
        </w:numPr>
        <w:spacing w:before="120" w:after="120"/>
        <w:ind w:left="1134" w:right="720" w:hanging="567"/>
        <w:contextualSpacing w:val="0"/>
        <w:rPr>
          <w:rFonts w:cs="Arial"/>
          <w:color w:val="auto"/>
        </w:rPr>
      </w:pPr>
      <w:r w:rsidRPr="009B3005">
        <w:rPr>
          <w:rFonts w:cs="Arial"/>
          <w:color w:val="auto"/>
        </w:rPr>
        <w:t xml:space="preserve">such </w:t>
      </w:r>
      <w:r w:rsidR="00447349" w:rsidRPr="00FC02FE">
        <w:rPr>
          <w:rFonts w:cs="Arial"/>
          <w:color w:val="auto"/>
        </w:rPr>
        <w:t xml:space="preserve">as part of the NHS Act 2006 </w:t>
      </w:r>
      <w:r w:rsidRPr="00FC02FE">
        <w:rPr>
          <w:rFonts w:cs="Arial"/>
          <w:color w:val="auto"/>
        </w:rPr>
        <w:t xml:space="preserve">the </w:t>
      </w:r>
      <w:r w:rsidRPr="009B3005">
        <w:rPr>
          <w:rFonts w:cs="Arial"/>
          <w:color w:val="auto"/>
        </w:rPr>
        <w:t>NHS Standard Contract Conditions</w:t>
      </w:r>
      <w:r w:rsidR="00795D08" w:rsidRPr="009B3005">
        <w:rPr>
          <w:rFonts w:cs="Arial"/>
          <w:color w:val="auto"/>
        </w:rPr>
        <w:t>, section 75 agreements, G</w:t>
      </w:r>
      <w:r w:rsidR="00B70AB7" w:rsidRPr="009B3005">
        <w:rPr>
          <w:rFonts w:cs="Arial"/>
          <w:color w:val="auto"/>
        </w:rPr>
        <w:t xml:space="preserve">eneral </w:t>
      </w:r>
      <w:r w:rsidR="00795D08" w:rsidRPr="009B3005">
        <w:rPr>
          <w:rFonts w:cs="Arial"/>
          <w:color w:val="auto"/>
        </w:rPr>
        <w:t>M</w:t>
      </w:r>
      <w:r w:rsidR="00B70AB7" w:rsidRPr="009B3005">
        <w:rPr>
          <w:rFonts w:cs="Arial"/>
          <w:color w:val="auto"/>
        </w:rPr>
        <w:t xml:space="preserve">edical </w:t>
      </w:r>
      <w:r w:rsidR="00795D08" w:rsidRPr="009B3005">
        <w:rPr>
          <w:rFonts w:cs="Arial"/>
          <w:color w:val="auto"/>
        </w:rPr>
        <w:t>S</w:t>
      </w:r>
      <w:r w:rsidR="00B70AB7" w:rsidRPr="009B3005">
        <w:rPr>
          <w:rFonts w:cs="Arial"/>
          <w:color w:val="auto"/>
        </w:rPr>
        <w:t xml:space="preserve">ervices </w:t>
      </w:r>
      <w:r w:rsidR="00795D08" w:rsidRPr="009B3005">
        <w:rPr>
          <w:rFonts w:cs="Arial"/>
          <w:color w:val="auto"/>
        </w:rPr>
        <w:t xml:space="preserve">and </w:t>
      </w:r>
      <w:r w:rsidR="00B70AB7" w:rsidRPr="009B3005">
        <w:rPr>
          <w:rFonts w:cs="Arial"/>
          <w:color w:val="auto"/>
        </w:rPr>
        <w:t xml:space="preserve">Alternative </w:t>
      </w:r>
      <w:r w:rsidR="00795D08" w:rsidRPr="009B3005">
        <w:rPr>
          <w:rFonts w:cs="Arial"/>
          <w:color w:val="auto"/>
        </w:rPr>
        <w:t>P</w:t>
      </w:r>
      <w:r w:rsidR="00B70AB7" w:rsidRPr="009B3005">
        <w:rPr>
          <w:rFonts w:cs="Arial"/>
          <w:color w:val="auto"/>
        </w:rPr>
        <w:t xml:space="preserve">rimary </w:t>
      </w:r>
      <w:r w:rsidR="00795D08" w:rsidRPr="009B3005">
        <w:rPr>
          <w:rFonts w:cs="Arial"/>
          <w:color w:val="auto"/>
        </w:rPr>
        <w:t>M</w:t>
      </w:r>
      <w:r w:rsidR="00B70AB7" w:rsidRPr="009B3005">
        <w:rPr>
          <w:rFonts w:cs="Arial"/>
          <w:color w:val="auto"/>
        </w:rPr>
        <w:t>edical Services</w:t>
      </w:r>
      <w:r w:rsidR="00795D08" w:rsidRPr="009B3005">
        <w:rPr>
          <w:rFonts w:cs="Arial"/>
          <w:color w:val="auto"/>
        </w:rPr>
        <w:t xml:space="preserve"> </w:t>
      </w:r>
      <w:r w:rsidRPr="009B3005">
        <w:rPr>
          <w:rFonts w:cs="Arial"/>
          <w:color w:val="auto"/>
        </w:rPr>
        <w:t>as are applicable;</w:t>
      </w:r>
    </w:p>
    <w:p w14:paraId="2CE475B9" w14:textId="77777777" w:rsidR="008473E4" w:rsidRPr="009B3005" w:rsidRDefault="008473E4" w:rsidP="0074740C">
      <w:pPr>
        <w:pStyle w:val="ListParagraph"/>
        <w:numPr>
          <w:ilvl w:val="0"/>
          <w:numId w:val="36"/>
        </w:numPr>
        <w:spacing w:before="120" w:after="120"/>
        <w:ind w:left="1134" w:right="720" w:hanging="567"/>
        <w:contextualSpacing w:val="0"/>
        <w:rPr>
          <w:rFonts w:cs="Arial"/>
          <w:color w:val="auto"/>
        </w:rPr>
      </w:pPr>
      <w:r w:rsidRPr="009B3005">
        <w:rPr>
          <w:rFonts w:cs="Arial"/>
          <w:color w:val="auto"/>
        </w:rPr>
        <w:t>Care Quality Commission guidance;</w:t>
      </w:r>
    </w:p>
    <w:p w14:paraId="5385140C" w14:textId="33880A99" w:rsidR="008473E4" w:rsidRPr="009B3005" w:rsidRDefault="008473E4" w:rsidP="0074740C">
      <w:pPr>
        <w:pStyle w:val="ListParagraph"/>
        <w:numPr>
          <w:ilvl w:val="0"/>
          <w:numId w:val="36"/>
        </w:numPr>
        <w:spacing w:before="120" w:after="120"/>
        <w:ind w:left="1134" w:right="720" w:hanging="567"/>
        <w:contextualSpacing w:val="0"/>
        <w:rPr>
          <w:rFonts w:cs="Arial"/>
          <w:color w:val="auto"/>
        </w:rPr>
      </w:pPr>
      <w:r w:rsidRPr="009B3005">
        <w:rPr>
          <w:rFonts w:cs="Arial"/>
          <w:color w:val="auto"/>
        </w:rPr>
        <w:lastRenderedPageBreak/>
        <w:t xml:space="preserve">contracts with </w:t>
      </w:r>
      <w:r w:rsidR="00697B87">
        <w:rPr>
          <w:rFonts w:cs="Arial"/>
          <w:color w:val="auto"/>
        </w:rPr>
        <w:t>f</w:t>
      </w:r>
      <w:r w:rsidRPr="009B3005">
        <w:rPr>
          <w:rFonts w:cs="Arial"/>
          <w:color w:val="auto"/>
        </w:rPr>
        <w:t xml:space="preserve">oundation </w:t>
      </w:r>
      <w:r w:rsidR="00697B87">
        <w:rPr>
          <w:rFonts w:cs="Arial"/>
          <w:color w:val="auto"/>
        </w:rPr>
        <w:t>t</w:t>
      </w:r>
      <w:r w:rsidRPr="009B3005">
        <w:rPr>
          <w:rFonts w:cs="Arial"/>
          <w:color w:val="auto"/>
        </w:rPr>
        <w:t xml:space="preserve">rusts must be in a form compliant with appropriate NHS guidance; </w:t>
      </w:r>
    </w:p>
    <w:p w14:paraId="335EE208" w14:textId="77777777" w:rsidR="008473E4" w:rsidRDefault="008473E4" w:rsidP="0074740C">
      <w:pPr>
        <w:pStyle w:val="ListParagraph"/>
        <w:numPr>
          <w:ilvl w:val="0"/>
          <w:numId w:val="36"/>
        </w:numPr>
        <w:spacing w:before="120" w:after="120"/>
        <w:ind w:left="1134" w:right="720" w:hanging="567"/>
        <w:contextualSpacing w:val="0"/>
        <w:rPr>
          <w:rFonts w:cs="Arial"/>
          <w:color w:val="auto"/>
        </w:rPr>
      </w:pPr>
      <w:r w:rsidRPr="009B3005">
        <w:rPr>
          <w:rFonts w:cs="Arial"/>
          <w:color w:val="auto"/>
        </w:rPr>
        <w:t>where appropriate contracts shall be in or embody the same terms and conditions of contract as was the basis on which tenders or quotations were invited;</w:t>
      </w:r>
    </w:p>
    <w:p w14:paraId="5A12264B" w14:textId="1928F734" w:rsidR="008473E4" w:rsidRPr="0010023C" w:rsidRDefault="008473E4" w:rsidP="0074740C">
      <w:pPr>
        <w:pStyle w:val="BodyTextNoSpacing"/>
        <w:numPr>
          <w:ilvl w:val="0"/>
          <w:numId w:val="36"/>
        </w:numPr>
        <w:spacing w:before="120" w:after="120" w:line="240" w:lineRule="auto"/>
        <w:ind w:left="1134" w:hanging="567"/>
      </w:pPr>
      <w:r w:rsidRPr="009B3005">
        <w:rPr>
          <w:rFonts w:cs="Arial"/>
          <w:color w:val="auto"/>
        </w:rPr>
        <w:t xml:space="preserve">in all contracts </w:t>
      </w:r>
      <w:r w:rsidR="00697B87" w:rsidRPr="00FC02FE">
        <w:rPr>
          <w:rFonts w:cs="Arial"/>
          <w:color w:val="auto"/>
        </w:rPr>
        <w:t xml:space="preserve">and grant agreements </w:t>
      </w:r>
      <w:r w:rsidRPr="00FC02FE">
        <w:rPr>
          <w:rFonts w:cs="Arial"/>
          <w:color w:val="auto"/>
        </w:rPr>
        <w:t xml:space="preserve">made </w:t>
      </w:r>
      <w:r w:rsidRPr="009B3005">
        <w:rPr>
          <w:rFonts w:cs="Arial"/>
          <w:color w:val="auto"/>
        </w:rPr>
        <w:t xml:space="preserve">by the ICB, the </w:t>
      </w:r>
      <w:r w:rsidR="00A2131A" w:rsidRPr="009B3005">
        <w:rPr>
          <w:rFonts w:cs="Arial"/>
          <w:color w:val="auto"/>
        </w:rPr>
        <w:t>Board</w:t>
      </w:r>
      <w:r w:rsidRPr="009B3005">
        <w:rPr>
          <w:rFonts w:cs="Arial"/>
          <w:color w:val="auto"/>
        </w:rPr>
        <w:t xml:space="preserve"> shall endeavour to obtain best value for money by use of all systems </w:t>
      </w:r>
      <w:r>
        <w:rPr>
          <w:rFonts w:cs="Arial"/>
          <w:color w:val="000000"/>
        </w:rPr>
        <w:t xml:space="preserve">in place.  The Chief Executive Officer shall nominate an officer who shall oversee and manage each contract </w:t>
      </w:r>
      <w:r w:rsidR="00697B87" w:rsidRPr="00FC02FE">
        <w:rPr>
          <w:rFonts w:cs="Arial"/>
          <w:color w:val="auto"/>
        </w:rPr>
        <w:t xml:space="preserve">and grant agreement </w:t>
      </w:r>
      <w:r>
        <w:rPr>
          <w:rFonts w:cs="Arial"/>
          <w:color w:val="000000"/>
        </w:rPr>
        <w:t>on behalf of the ICB.</w:t>
      </w:r>
    </w:p>
    <w:p w14:paraId="5FC5779F" w14:textId="044EFDFF" w:rsidR="008473E4" w:rsidRPr="002A6450" w:rsidRDefault="008473E4" w:rsidP="00171ABE">
      <w:pPr>
        <w:pStyle w:val="Heading2Numbered"/>
        <w:spacing w:before="360"/>
        <w:ind w:left="0"/>
        <w:rPr>
          <w:color w:val="002060"/>
        </w:rPr>
      </w:pPr>
      <w:bookmarkStart w:id="42" w:name="_Toc230249784"/>
      <w:r w:rsidRPr="002A6450">
        <w:rPr>
          <w:color w:val="002060"/>
        </w:rPr>
        <w:t xml:space="preserve">Healthcare Service Agreements </w:t>
      </w:r>
      <w:r w:rsidRPr="002A6450">
        <w:rPr>
          <w:color w:val="002060"/>
          <w:sz w:val="28"/>
          <w:szCs w:val="28"/>
        </w:rPr>
        <w:t xml:space="preserve">(cross reference with SFI </w:t>
      </w:r>
      <w:r w:rsidR="001F4B8B" w:rsidRPr="002A6450">
        <w:rPr>
          <w:color w:val="002060"/>
          <w:sz w:val="28"/>
          <w:szCs w:val="28"/>
        </w:rPr>
        <w:t>8.2</w:t>
      </w:r>
      <w:r w:rsidR="00B346B7" w:rsidRPr="002A6450">
        <w:rPr>
          <w:color w:val="002060"/>
          <w:sz w:val="28"/>
          <w:szCs w:val="28"/>
        </w:rPr>
        <w:t>.4 and 8.5.2</w:t>
      </w:r>
      <w:r w:rsidRPr="002A6450">
        <w:rPr>
          <w:color w:val="002060"/>
          <w:sz w:val="28"/>
          <w:szCs w:val="28"/>
        </w:rPr>
        <w:t>)</w:t>
      </w:r>
      <w:bookmarkEnd w:id="42"/>
    </w:p>
    <w:p w14:paraId="0992F500" w14:textId="04E6C095" w:rsidR="00B47B40" w:rsidRDefault="00B47B40" w:rsidP="0070678C">
      <w:pPr>
        <w:pStyle w:val="Heading3Numbered"/>
      </w:pPr>
      <w:r>
        <w:t xml:space="preserve">Service agreements with NHS providers for the supply of healthcare services shall be drawn up in accordance with current legislation and guidance and administered by the </w:t>
      </w:r>
      <w:r w:rsidR="000C22EE">
        <w:t>ICB</w:t>
      </w:r>
      <w:r>
        <w:t xml:space="preserve">.  Service agreements are not contracts in law and are not enforceable by the courts. However, a contract with a Foundation Trust, being a </w:t>
      </w:r>
      <w:r w:rsidRPr="009B3005">
        <w:t>P</w:t>
      </w:r>
      <w:r w:rsidR="00DC34A9" w:rsidRPr="009B3005">
        <w:t xml:space="preserve">erformance </w:t>
      </w:r>
      <w:r w:rsidRPr="009B3005">
        <w:t>B</w:t>
      </w:r>
      <w:r w:rsidR="00DC34A9" w:rsidRPr="009B3005">
        <w:t xml:space="preserve">ased </w:t>
      </w:r>
      <w:r w:rsidRPr="009B3005">
        <w:t>C</w:t>
      </w:r>
      <w:r w:rsidR="00DC34A9" w:rsidRPr="009B3005">
        <w:t>ontracts</w:t>
      </w:r>
      <w:r w:rsidRPr="009B3005">
        <w:t>,</w:t>
      </w:r>
      <w:r>
        <w:t xml:space="preserve"> is a legal document and is enforceable in law</w:t>
      </w:r>
      <w:r w:rsidR="00EA1A3B">
        <w:t>.</w:t>
      </w:r>
    </w:p>
    <w:p w14:paraId="4CA8CB5E" w14:textId="5A0C5632" w:rsidR="00B47B40" w:rsidRDefault="00B47B40" w:rsidP="0070678C">
      <w:pPr>
        <w:pStyle w:val="Heading3Numbered"/>
      </w:pPr>
      <w:r>
        <w:t xml:space="preserve">The Chief Executive Officer shall nominate officers to commission service agreements with providers of healthcare in line with a commissioning plan approved by the </w:t>
      </w:r>
      <w:r w:rsidR="00A2131A">
        <w:t>Board</w:t>
      </w:r>
      <w:r>
        <w:t>.</w:t>
      </w:r>
    </w:p>
    <w:p w14:paraId="0215393C" w14:textId="77777777" w:rsidR="006F40AA" w:rsidRDefault="006F40AA" w:rsidP="007107DF">
      <w:pPr>
        <w:pStyle w:val="BodyTextNoSpacing"/>
      </w:pPr>
    </w:p>
    <w:p w14:paraId="38630088" w14:textId="686EEA09" w:rsidR="006F40AA" w:rsidRDefault="006F40AA" w:rsidP="007107DF">
      <w:pPr>
        <w:pStyle w:val="BodyTextNoSpacing"/>
        <w:sectPr w:rsidR="006F40AA" w:rsidSect="00767381">
          <w:pgSz w:w="11906" w:h="16838" w:code="9"/>
          <w:pgMar w:top="1418" w:right="1928" w:bottom="1247" w:left="1077" w:header="624" w:footer="510" w:gutter="0"/>
          <w:cols w:space="708"/>
          <w:docGrid w:linePitch="360"/>
        </w:sectPr>
      </w:pPr>
    </w:p>
    <w:p w14:paraId="0469A43E" w14:textId="1D89FA30" w:rsidR="006C6033" w:rsidRPr="002A6450" w:rsidRDefault="006C6033" w:rsidP="004C1E2A">
      <w:pPr>
        <w:pStyle w:val="Heading1Numbered"/>
        <w:ind w:left="0"/>
        <w:rPr>
          <w:color w:val="002060"/>
          <w:sz w:val="52"/>
          <w:szCs w:val="24"/>
        </w:rPr>
      </w:pPr>
      <w:bookmarkStart w:id="43" w:name="_Toc230249785"/>
      <w:r w:rsidRPr="00BC76FC">
        <w:rPr>
          <w:color w:val="002060"/>
          <w:sz w:val="52"/>
          <w:szCs w:val="24"/>
        </w:rPr>
        <w:lastRenderedPageBreak/>
        <w:t>Contracting/Tendering</w:t>
      </w:r>
      <w:r w:rsidRPr="002A6450">
        <w:rPr>
          <w:color w:val="002060"/>
          <w:sz w:val="52"/>
          <w:szCs w:val="24"/>
        </w:rPr>
        <w:t xml:space="preserve"> Procedure</w:t>
      </w:r>
      <w:bookmarkEnd w:id="43"/>
    </w:p>
    <w:p w14:paraId="555CEDF8" w14:textId="31C61BA4" w:rsidR="004F7E3E" w:rsidRPr="002A6450" w:rsidRDefault="004F7E3E" w:rsidP="00171ABE">
      <w:pPr>
        <w:pStyle w:val="Heading2Numbered"/>
        <w:ind w:left="0"/>
        <w:rPr>
          <w:color w:val="002060"/>
        </w:rPr>
      </w:pPr>
      <w:bookmarkStart w:id="44" w:name="_Toc230249786"/>
      <w:r w:rsidRPr="002A6450">
        <w:rPr>
          <w:color w:val="002060"/>
        </w:rPr>
        <w:t>Invitation to tender</w:t>
      </w:r>
      <w:bookmarkEnd w:id="44"/>
    </w:p>
    <w:p w14:paraId="193F1BFD" w14:textId="18BBF9FC" w:rsidR="00B001ED" w:rsidRPr="009B3005" w:rsidRDefault="00B001ED" w:rsidP="0070678C">
      <w:pPr>
        <w:pStyle w:val="Heading3Numbered"/>
      </w:pPr>
      <w:r w:rsidRPr="009B3005">
        <w:t xml:space="preserve">Invitation to tender should be undertaken in conjunction with the procurement team and the relevant legislation, as referenced in section 8.1. </w:t>
      </w:r>
    </w:p>
    <w:p w14:paraId="7C6C0AB7" w14:textId="0C57A419" w:rsidR="008029ED" w:rsidRPr="009B3005" w:rsidRDefault="008029ED" w:rsidP="0070678C">
      <w:pPr>
        <w:pStyle w:val="Heading3Numbered"/>
      </w:pPr>
      <w:r w:rsidRPr="009B3005">
        <w:t>Where e-tendering is not used, all invitations to tender shall state the date and time as being the latest time for the receipt of tenders.</w:t>
      </w:r>
    </w:p>
    <w:p w14:paraId="6F0608F2" w14:textId="77777777" w:rsidR="00B001ED" w:rsidRPr="009B3005" w:rsidRDefault="008029ED" w:rsidP="0070678C">
      <w:pPr>
        <w:pStyle w:val="Heading3Numbered"/>
      </w:pPr>
      <w:r w:rsidRPr="009B3005">
        <w:t>All invitations to tender shall state that no tender will be accepted unless</w:t>
      </w:r>
    </w:p>
    <w:p w14:paraId="2EE2DBED" w14:textId="54D308E6" w:rsidR="008029ED" w:rsidRPr="009B3005" w:rsidRDefault="008029ED" w:rsidP="008029ED">
      <w:pPr>
        <w:pStyle w:val="BodyText"/>
        <w:spacing w:before="120" w:line="240" w:lineRule="auto"/>
        <w:ind w:left="993" w:hanging="426"/>
        <w:rPr>
          <w:color w:val="auto"/>
        </w:rPr>
      </w:pPr>
      <w:r w:rsidRPr="009B3005">
        <w:rPr>
          <w:color w:val="auto"/>
        </w:rPr>
        <w:t>•</w:t>
      </w:r>
      <w:r w:rsidRPr="009B3005">
        <w:rPr>
          <w:color w:val="auto"/>
        </w:rPr>
        <w:tab/>
        <w:t xml:space="preserve">submitted in a plain sealed package or envelope bearing a pre-printed label supplied by the </w:t>
      </w:r>
      <w:r w:rsidR="000C22EE" w:rsidRPr="009B3005">
        <w:rPr>
          <w:color w:val="auto"/>
        </w:rPr>
        <w:t>ICB</w:t>
      </w:r>
      <w:r w:rsidRPr="009B3005">
        <w:rPr>
          <w:color w:val="auto"/>
        </w:rPr>
        <w:t xml:space="preserve"> (or the word "tender" followed by the subject to which it related) and by the latest date and time for the receipt of such tender addressed to the Chief Executive Officer or nominated </w:t>
      </w:r>
      <w:r w:rsidR="00EA1A3B" w:rsidRPr="009B3005">
        <w:rPr>
          <w:color w:val="auto"/>
        </w:rPr>
        <w:t>m</w:t>
      </w:r>
      <w:r w:rsidRPr="009B3005">
        <w:rPr>
          <w:color w:val="auto"/>
        </w:rPr>
        <w:t xml:space="preserve">anager; </w:t>
      </w:r>
    </w:p>
    <w:p w14:paraId="4CE38F38" w14:textId="79B89403" w:rsidR="00B001ED" w:rsidRPr="009B3005" w:rsidRDefault="008029ED" w:rsidP="00B001ED">
      <w:pPr>
        <w:pStyle w:val="BodyText"/>
        <w:spacing w:before="120" w:line="240" w:lineRule="auto"/>
        <w:ind w:left="993" w:hanging="426"/>
        <w:rPr>
          <w:color w:val="auto"/>
        </w:rPr>
      </w:pPr>
      <w:r w:rsidRPr="009B3005">
        <w:rPr>
          <w:color w:val="auto"/>
        </w:rPr>
        <w:t>•</w:t>
      </w:r>
      <w:r w:rsidRPr="009B3005">
        <w:rPr>
          <w:color w:val="auto"/>
        </w:rPr>
        <w:tab/>
        <w:t>that tender envelopes/ packages shall not bear any names or marks indicating the sender. The use of courier/postal services must not identify the sender on the envelope or on any receipt so required by the deliverer</w:t>
      </w:r>
      <w:r w:rsidR="00EF139A">
        <w:rPr>
          <w:color w:val="auto"/>
        </w:rPr>
        <w:t>.</w:t>
      </w:r>
      <w:r w:rsidR="00B001ED" w:rsidRPr="009B3005">
        <w:rPr>
          <w:color w:val="auto"/>
        </w:rPr>
        <w:t xml:space="preserve"> </w:t>
      </w:r>
    </w:p>
    <w:p w14:paraId="0317DEF8" w14:textId="110F718F" w:rsidR="00B001ED" w:rsidRPr="009B3005" w:rsidRDefault="00B001ED" w:rsidP="0070678C">
      <w:pPr>
        <w:pStyle w:val="Heading3Numbered"/>
      </w:pPr>
      <w:r w:rsidRPr="009B3005">
        <w:t xml:space="preserve">Where an e-tendering software package is used the supplier’s response will be completed on-line and uploaded to a secure mailbox until the opening time. </w:t>
      </w:r>
    </w:p>
    <w:p w14:paraId="1740E4BE" w14:textId="59F575DB" w:rsidR="00B001ED" w:rsidRPr="009B3005" w:rsidRDefault="00B001ED" w:rsidP="0070678C">
      <w:pPr>
        <w:pStyle w:val="Heading3Numbered"/>
      </w:pPr>
      <w:r w:rsidRPr="009B3005">
        <w:t>Every tender for goods, materials, services or disposals shall embody such elements of the NHS Standard Contract Conditions as are applicable</w:t>
      </w:r>
      <w:r w:rsidR="00F948CB" w:rsidRPr="009B3005">
        <w:t>.</w:t>
      </w:r>
      <w:r w:rsidR="008A4975" w:rsidRPr="009B3005">
        <w:t xml:space="preserve"> This will also include services procured collaboratively with local authorities and other partners.</w:t>
      </w:r>
      <w:r w:rsidR="005156FA" w:rsidRPr="009B3005">
        <w:t xml:space="preserve"> Recognising services may be contracted under a local </w:t>
      </w:r>
      <w:r w:rsidR="00EF139A">
        <w:t>authority’s</w:t>
      </w:r>
      <w:r w:rsidR="005156FA" w:rsidRPr="009B3005">
        <w:t xml:space="preserve"> contract.</w:t>
      </w:r>
    </w:p>
    <w:p w14:paraId="3E5DE04D" w14:textId="4F47F9A4" w:rsidR="00B001ED" w:rsidRDefault="00B001ED" w:rsidP="0070678C">
      <w:pPr>
        <w:pStyle w:val="Heading3Numbered"/>
      </w:pPr>
      <w:r w:rsidRPr="008029ED">
        <w:t>Every tender must have given, or give a written undertaking, not to engage in collusive tendering or other restrictive practices</w:t>
      </w:r>
      <w:r>
        <w:t>.</w:t>
      </w:r>
    </w:p>
    <w:p w14:paraId="434D2299" w14:textId="77777777" w:rsidR="00B001ED" w:rsidRDefault="00B001ED" w:rsidP="00B001ED">
      <w:pPr>
        <w:pStyle w:val="Heading2Numbered"/>
        <w:spacing w:before="360"/>
        <w:ind w:left="0"/>
      </w:pPr>
      <w:bookmarkStart w:id="45" w:name="_Toc230249787"/>
      <w:r>
        <w:t>Receipt and safe custody of tenders</w:t>
      </w:r>
      <w:bookmarkEnd w:id="45"/>
    </w:p>
    <w:p w14:paraId="01352878" w14:textId="165E94EE" w:rsidR="00B001ED" w:rsidRDefault="00B001ED" w:rsidP="0070678C">
      <w:pPr>
        <w:pStyle w:val="Heading3Numbered"/>
      </w:pPr>
      <w:r>
        <w:t xml:space="preserve">The Chief Executive Officer or </w:t>
      </w:r>
      <w:r w:rsidRPr="009B3005">
        <w:rPr>
          <w:color w:val="auto"/>
        </w:rPr>
        <w:t xml:space="preserve">their </w:t>
      </w:r>
      <w:r>
        <w:t>nominated representative will be responsible for the receipt, endorsement and safe custody of tenders received until the time appointed for their opening.</w:t>
      </w:r>
    </w:p>
    <w:p w14:paraId="6453A483" w14:textId="12F9E135" w:rsidR="00B001ED" w:rsidRDefault="00B001ED" w:rsidP="0070678C">
      <w:pPr>
        <w:pStyle w:val="Heading3Numbered"/>
      </w:pPr>
      <w:r w:rsidRPr="00B001ED">
        <w:t>The date and time of receipt of each tender shall be endorsed on the tender envelope/package.</w:t>
      </w:r>
    </w:p>
    <w:p w14:paraId="4E7D1E04" w14:textId="3176EDCF" w:rsidR="00B001ED" w:rsidRDefault="00B001ED" w:rsidP="00B001ED">
      <w:pPr>
        <w:pStyle w:val="BodyText"/>
        <w:spacing w:before="120" w:line="240" w:lineRule="auto"/>
      </w:pPr>
    </w:p>
    <w:p w14:paraId="729373BB" w14:textId="77777777" w:rsidR="008029ED" w:rsidRDefault="008029ED" w:rsidP="0070678C">
      <w:pPr>
        <w:pStyle w:val="Heading3Numbered"/>
      </w:pPr>
      <w:r w:rsidRPr="003B6444">
        <w:lastRenderedPageBreak/>
        <w:t>An audit log within the e-tendering system will record the date and time the offer documents are received.</w:t>
      </w:r>
    </w:p>
    <w:p w14:paraId="38ACC070" w14:textId="6E8DB4DF" w:rsidR="004F7E3E" w:rsidRDefault="004F7E3E" w:rsidP="003B6444">
      <w:pPr>
        <w:pStyle w:val="Heading2Numbered"/>
        <w:spacing w:before="360"/>
        <w:ind w:left="0"/>
      </w:pPr>
      <w:bookmarkStart w:id="46" w:name="_Toc230249788"/>
      <w:r>
        <w:t>Opening tenders and register of tenders</w:t>
      </w:r>
      <w:bookmarkEnd w:id="46"/>
    </w:p>
    <w:p w14:paraId="260B96C8" w14:textId="1E47CD2E" w:rsidR="004F7E3E" w:rsidRDefault="003B6444" w:rsidP="0070678C">
      <w:pPr>
        <w:pStyle w:val="Heading3Numbered"/>
      </w:pPr>
      <w:r w:rsidRPr="003B6444">
        <w:t xml:space="preserve">Where e-tendering is </w:t>
      </w:r>
      <w:r w:rsidRPr="00697B87">
        <w:rPr>
          <w:b/>
          <w:bCs/>
        </w:rPr>
        <w:t>not</w:t>
      </w:r>
      <w:r w:rsidRPr="003B6444">
        <w:t xml:space="preserve"> used</w:t>
      </w:r>
      <w:r>
        <w:t>:</w:t>
      </w:r>
    </w:p>
    <w:p w14:paraId="5B20E355" w14:textId="77777777" w:rsidR="003B6444" w:rsidRPr="009B3005" w:rsidRDefault="003B6444" w:rsidP="0074740C">
      <w:pPr>
        <w:pStyle w:val="BodyText"/>
        <w:numPr>
          <w:ilvl w:val="0"/>
          <w:numId w:val="40"/>
        </w:numPr>
        <w:spacing w:before="120" w:after="240" w:line="240" w:lineRule="auto"/>
        <w:ind w:left="992" w:hanging="425"/>
        <w:rPr>
          <w:color w:val="auto"/>
        </w:rPr>
      </w:pPr>
      <w:r>
        <w:t xml:space="preserve">As soon as practicable after the date and time stated as being the latest time for the receipt of tenders, they shall be opened by two senior officers/managers designated by the Chief Executive Officer and not from </w:t>
      </w:r>
      <w:r w:rsidRPr="009B3005">
        <w:rPr>
          <w:color w:val="auto"/>
        </w:rPr>
        <w:t xml:space="preserve">the originating department. </w:t>
      </w:r>
    </w:p>
    <w:p w14:paraId="206485EB" w14:textId="77777777" w:rsidR="00EA1A3B" w:rsidRPr="009B3005" w:rsidRDefault="00EA1A3B" w:rsidP="0074740C">
      <w:pPr>
        <w:pStyle w:val="BodyText"/>
        <w:numPr>
          <w:ilvl w:val="0"/>
          <w:numId w:val="40"/>
        </w:numPr>
        <w:spacing w:before="120" w:after="240" w:line="240" w:lineRule="auto"/>
        <w:ind w:left="992" w:hanging="425"/>
        <w:rPr>
          <w:color w:val="auto"/>
        </w:rPr>
      </w:pPr>
      <w:r w:rsidRPr="009B3005">
        <w:rPr>
          <w:color w:val="auto"/>
        </w:rPr>
        <w:t xml:space="preserve">The originating department will be taken to mean the department sponsoring or commissioning the tender. </w:t>
      </w:r>
    </w:p>
    <w:p w14:paraId="17BE148A" w14:textId="2F5B96D5" w:rsidR="003B6444" w:rsidRDefault="003B6444" w:rsidP="0074740C">
      <w:pPr>
        <w:pStyle w:val="BodyText"/>
        <w:numPr>
          <w:ilvl w:val="0"/>
          <w:numId w:val="40"/>
        </w:numPr>
        <w:spacing w:before="120" w:after="240" w:line="240" w:lineRule="auto"/>
        <w:ind w:left="992" w:hanging="425"/>
      </w:pPr>
      <w:r>
        <w:t xml:space="preserve">A member of the </w:t>
      </w:r>
      <w:r w:rsidR="000C22EE">
        <w:t>ICB</w:t>
      </w:r>
      <w:r>
        <w:t xml:space="preserve"> </w:t>
      </w:r>
      <w:r w:rsidR="00EF139A" w:rsidRPr="00FC02FE">
        <w:rPr>
          <w:color w:val="auto"/>
        </w:rPr>
        <w:t xml:space="preserve">Executive team </w:t>
      </w:r>
      <w:r>
        <w:t>will be required to be one of the two approved persons present for the opening of tenders estimated above £500</w:t>
      </w:r>
      <w:r w:rsidR="00DD108B">
        <w:t>k</w:t>
      </w:r>
      <w:r>
        <w:t xml:space="preserve"> (contract life cycle). The rules relating to the opening of tenders will need to be read in conjunction with any delegated authority set out in the </w:t>
      </w:r>
      <w:r w:rsidR="000C22EE">
        <w:t>ICB</w:t>
      </w:r>
      <w:r>
        <w:t xml:space="preserve">’s Scheme of </w:t>
      </w:r>
      <w:r w:rsidR="00447349" w:rsidRPr="00FC02FE">
        <w:rPr>
          <w:color w:val="auto"/>
        </w:rPr>
        <w:t xml:space="preserve">Reservation and </w:t>
      </w:r>
      <w:r>
        <w:t>Delegation.</w:t>
      </w:r>
    </w:p>
    <w:p w14:paraId="517DCE64" w14:textId="340DD4C3" w:rsidR="003B6444" w:rsidRDefault="003B6444" w:rsidP="0074740C">
      <w:pPr>
        <w:pStyle w:val="BodyText"/>
        <w:numPr>
          <w:ilvl w:val="0"/>
          <w:numId w:val="40"/>
        </w:numPr>
        <w:spacing w:before="120" w:after="240" w:line="240" w:lineRule="auto"/>
        <w:ind w:left="992" w:hanging="425"/>
      </w:pPr>
      <w:r>
        <w:t xml:space="preserve">The involvement of </w:t>
      </w:r>
      <w:r w:rsidR="00EA1A3B">
        <w:t>f</w:t>
      </w:r>
      <w:r>
        <w:t xml:space="preserve">inance staff in the preparation of a tender proposal will not preclude the Chief Finance Officer or any approved </w:t>
      </w:r>
      <w:r w:rsidR="00EA1A3B">
        <w:t>s</w:t>
      </w:r>
      <w:r>
        <w:t xml:space="preserve">enior </w:t>
      </w:r>
      <w:r w:rsidR="00EA1A3B">
        <w:t>m</w:t>
      </w:r>
      <w:r>
        <w:t xml:space="preserve">anager from the </w:t>
      </w:r>
      <w:r w:rsidR="00EA1A3B">
        <w:t>f</w:t>
      </w:r>
      <w:r>
        <w:t xml:space="preserve">inance </w:t>
      </w:r>
      <w:r w:rsidR="00C3242A" w:rsidRPr="009B3005">
        <w:rPr>
          <w:color w:val="auto"/>
        </w:rPr>
        <w:t xml:space="preserve">team </w:t>
      </w:r>
      <w:r>
        <w:t>from serving as one of the two senior managers to open tenders.</w:t>
      </w:r>
    </w:p>
    <w:p w14:paraId="6263C2A5" w14:textId="1FD3FF30" w:rsidR="003B6444" w:rsidRDefault="004A3AA3" w:rsidP="0074740C">
      <w:pPr>
        <w:pStyle w:val="BodyText"/>
        <w:numPr>
          <w:ilvl w:val="0"/>
          <w:numId w:val="40"/>
        </w:numPr>
        <w:spacing w:before="120" w:after="240" w:line="240" w:lineRule="auto"/>
        <w:ind w:left="992" w:hanging="425"/>
      </w:pPr>
      <w:r>
        <w:t xml:space="preserve">The </w:t>
      </w:r>
      <w:r w:rsidR="003B6444">
        <w:t xml:space="preserve">Executive </w:t>
      </w:r>
      <w:r>
        <w:t>t</w:t>
      </w:r>
      <w:r w:rsidR="003B6444">
        <w:t>eam will be authorised to open tenders regardless of whether they are from the originating department provided that the other authorised person opening the tenders with them is not from the originating department.</w:t>
      </w:r>
    </w:p>
    <w:p w14:paraId="282F187F" w14:textId="0A9CCA7B" w:rsidR="003B6444" w:rsidRDefault="003B6444" w:rsidP="0074740C">
      <w:pPr>
        <w:pStyle w:val="BodyText"/>
        <w:numPr>
          <w:ilvl w:val="0"/>
          <w:numId w:val="40"/>
        </w:numPr>
        <w:spacing w:before="120" w:after="240" w:line="240" w:lineRule="auto"/>
        <w:ind w:left="992" w:hanging="425"/>
      </w:pPr>
      <w:r>
        <w:t xml:space="preserve">The </w:t>
      </w:r>
      <w:r w:rsidR="000C22EE">
        <w:t>ICB</w:t>
      </w:r>
      <w:r>
        <w:t xml:space="preserve">’s Company Secretary or equivalent role will count as a </w:t>
      </w:r>
      <w:r w:rsidR="00572AFD">
        <w:t>director</w:t>
      </w:r>
      <w:r>
        <w:t xml:space="preserve"> for the purposes of opening tenders. </w:t>
      </w:r>
    </w:p>
    <w:p w14:paraId="31CB90D6" w14:textId="1FB1901E" w:rsidR="003B6444" w:rsidRDefault="003B6444" w:rsidP="0074740C">
      <w:pPr>
        <w:pStyle w:val="BodyText"/>
        <w:numPr>
          <w:ilvl w:val="0"/>
          <w:numId w:val="40"/>
        </w:numPr>
        <w:spacing w:before="120" w:after="240" w:line="240" w:lineRule="auto"/>
        <w:ind w:left="992" w:hanging="425"/>
      </w:pPr>
      <w:r>
        <w:t>Every tender received shall be marked with the date of opening and initialled by those present at the opening.  Where an electronic tendering package is used the details of the persons opening the documents will be recorded in the audit trail together with the date and time of the document opening.</w:t>
      </w:r>
    </w:p>
    <w:p w14:paraId="43971D7A" w14:textId="77ECCA28" w:rsidR="003B6444" w:rsidRDefault="003B6444" w:rsidP="0074740C">
      <w:pPr>
        <w:pStyle w:val="BodyText"/>
        <w:numPr>
          <w:ilvl w:val="0"/>
          <w:numId w:val="40"/>
        </w:numPr>
        <w:spacing w:before="120" w:after="240" w:line="240" w:lineRule="auto"/>
        <w:ind w:left="992" w:hanging="425"/>
      </w:pPr>
      <w:r>
        <w:t>A register shall be maintained by the Chief Executive Officer, or a person authorised by them, to show for each set of competitive tender invitations dispatched:</w:t>
      </w:r>
    </w:p>
    <w:p w14:paraId="41649246" w14:textId="77777777" w:rsidR="003B6444" w:rsidRDefault="003B6444" w:rsidP="0074740C">
      <w:pPr>
        <w:pStyle w:val="ListParagraph"/>
        <w:numPr>
          <w:ilvl w:val="0"/>
          <w:numId w:val="41"/>
        </w:numPr>
        <w:tabs>
          <w:tab w:val="left" w:pos="-720"/>
          <w:tab w:val="left" w:pos="1985"/>
        </w:tabs>
        <w:suppressAutoHyphens/>
        <w:spacing w:before="120" w:after="120"/>
        <w:ind w:left="1434" w:hanging="441"/>
        <w:contextualSpacing w:val="0"/>
        <w:rPr>
          <w:rFonts w:cs="Arial"/>
        </w:rPr>
      </w:pPr>
      <w:r>
        <w:rPr>
          <w:rFonts w:cs="Arial"/>
        </w:rPr>
        <w:t>the name of all firms or individuals invited;</w:t>
      </w:r>
    </w:p>
    <w:p w14:paraId="4A4C6D08" w14:textId="77777777" w:rsidR="003B6444" w:rsidRDefault="003B6444" w:rsidP="0074740C">
      <w:pPr>
        <w:pStyle w:val="ListParagraph"/>
        <w:numPr>
          <w:ilvl w:val="0"/>
          <w:numId w:val="41"/>
        </w:numPr>
        <w:tabs>
          <w:tab w:val="left" w:pos="-720"/>
          <w:tab w:val="left" w:pos="1985"/>
        </w:tabs>
        <w:suppressAutoHyphens/>
        <w:spacing w:before="120" w:after="120"/>
        <w:ind w:left="1434" w:hanging="441"/>
        <w:contextualSpacing w:val="0"/>
        <w:rPr>
          <w:rFonts w:cs="Arial"/>
        </w:rPr>
      </w:pPr>
      <w:r>
        <w:rPr>
          <w:rFonts w:cs="Arial"/>
        </w:rPr>
        <w:t>the names of firms or individuals from which tenders have been received;</w:t>
      </w:r>
    </w:p>
    <w:p w14:paraId="70FFB16E" w14:textId="77777777" w:rsidR="003B6444" w:rsidRDefault="003B6444" w:rsidP="0074740C">
      <w:pPr>
        <w:pStyle w:val="ListParagraph"/>
        <w:numPr>
          <w:ilvl w:val="0"/>
          <w:numId w:val="41"/>
        </w:numPr>
        <w:tabs>
          <w:tab w:val="left" w:pos="-720"/>
          <w:tab w:val="left" w:pos="1985"/>
        </w:tabs>
        <w:suppressAutoHyphens/>
        <w:spacing w:before="120" w:after="120"/>
        <w:ind w:left="1434" w:hanging="441"/>
        <w:contextualSpacing w:val="0"/>
        <w:rPr>
          <w:rFonts w:cs="Arial"/>
        </w:rPr>
      </w:pPr>
      <w:r>
        <w:rPr>
          <w:rFonts w:cs="Arial"/>
        </w:rPr>
        <w:t>the date the tenders were received and opened;</w:t>
      </w:r>
    </w:p>
    <w:p w14:paraId="1C46CDE3" w14:textId="77777777" w:rsidR="003B6444" w:rsidRDefault="003B6444" w:rsidP="0074740C">
      <w:pPr>
        <w:pStyle w:val="ListParagraph"/>
        <w:numPr>
          <w:ilvl w:val="0"/>
          <w:numId w:val="41"/>
        </w:numPr>
        <w:tabs>
          <w:tab w:val="left" w:pos="-720"/>
          <w:tab w:val="left" w:pos="1985"/>
        </w:tabs>
        <w:suppressAutoHyphens/>
        <w:spacing w:before="120" w:after="120"/>
        <w:ind w:left="1434" w:hanging="441"/>
        <w:contextualSpacing w:val="0"/>
        <w:rPr>
          <w:rFonts w:cs="Arial"/>
        </w:rPr>
      </w:pPr>
      <w:r>
        <w:rPr>
          <w:rFonts w:cs="Arial"/>
        </w:rPr>
        <w:t>the persons present at the opening;</w:t>
      </w:r>
    </w:p>
    <w:p w14:paraId="635539EE" w14:textId="77777777" w:rsidR="003B6444" w:rsidRDefault="003B6444" w:rsidP="0074740C">
      <w:pPr>
        <w:pStyle w:val="ListParagraph"/>
        <w:numPr>
          <w:ilvl w:val="0"/>
          <w:numId w:val="41"/>
        </w:numPr>
        <w:tabs>
          <w:tab w:val="left" w:pos="-720"/>
          <w:tab w:val="left" w:pos="1985"/>
        </w:tabs>
        <w:suppressAutoHyphens/>
        <w:spacing w:before="120" w:after="120"/>
        <w:ind w:left="1434" w:hanging="441"/>
        <w:contextualSpacing w:val="0"/>
        <w:rPr>
          <w:rFonts w:cs="Arial"/>
        </w:rPr>
      </w:pPr>
      <w:r>
        <w:rPr>
          <w:rFonts w:cs="Arial"/>
        </w:rPr>
        <w:t>the price shown on each tender;</w:t>
      </w:r>
    </w:p>
    <w:p w14:paraId="579C4FB4" w14:textId="77777777" w:rsidR="003B6444" w:rsidRDefault="003B6444" w:rsidP="0074740C">
      <w:pPr>
        <w:pStyle w:val="ListParagraph"/>
        <w:numPr>
          <w:ilvl w:val="0"/>
          <w:numId w:val="41"/>
        </w:numPr>
        <w:tabs>
          <w:tab w:val="left" w:pos="-720"/>
          <w:tab w:val="left" w:pos="1985"/>
        </w:tabs>
        <w:suppressAutoHyphens/>
        <w:spacing w:before="120" w:after="120"/>
        <w:ind w:left="1434" w:hanging="441"/>
        <w:contextualSpacing w:val="0"/>
        <w:rPr>
          <w:rFonts w:cs="Arial"/>
        </w:rPr>
      </w:pPr>
      <w:r>
        <w:rPr>
          <w:rFonts w:cs="Arial"/>
        </w:rPr>
        <w:lastRenderedPageBreak/>
        <w:t>a note where price alterations have been made on the tender and suitably initialled.</w:t>
      </w:r>
    </w:p>
    <w:p w14:paraId="2095CCD9" w14:textId="77777777" w:rsidR="00EF79C6" w:rsidRDefault="00B91937" w:rsidP="00F65AD8">
      <w:pPr>
        <w:tabs>
          <w:tab w:val="left" w:pos="-720"/>
          <w:tab w:val="left" w:pos="1560"/>
        </w:tabs>
        <w:suppressAutoHyphens/>
        <w:ind w:left="993" w:hanging="426"/>
        <w:rPr>
          <w:rFonts w:eastAsiaTheme="majorEastAsia" w:cstheme="majorBidi"/>
        </w:rPr>
      </w:pPr>
      <w:r>
        <w:rPr>
          <w:rFonts w:cs="Arial"/>
        </w:rPr>
        <w:tab/>
      </w:r>
      <w:r w:rsidR="003B6444" w:rsidRPr="00EF79C6">
        <w:rPr>
          <w:rFonts w:eastAsiaTheme="majorEastAsia" w:cstheme="majorBidi"/>
        </w:rPr>
        <w:t xml:space="preserve">Each entry to this register shall be signed by those present. </w:t>
      </w:r>
      <w:r w:rsidR="004A3AA3" w:rsidRPr="00EF79C6">
        <w:rPr>
          <w:rFonts w:eastAsiaTheme="majorEastAsia" w:cstheme="majorBidi"/>
        </w:rPr>
        <w:t xml:space="preserve"> </w:t>
      </w:r>
      <w:r w:rsidR="003B6444" w:rsidRPr="00EF79C6">
        <w:rPr>
          <w:rFonts w:eastAsiaTheme="majorEastAsia" w:cstheme="majorBidi"/>
        </w:rPr>
        <w:t>A note shall be made in the register if any one tender price has had so many alterations that it cannot be easily read or understood.</w:t>
      </w:r>
    </w:p>
    <w:p w14:paraId="68AA0FB3" w14:textId="77777777" w:rsidR="00EF79C6" w:rsidRDefault="00EF79C6" w:rsidP="00F65AD8">
      <w:pPr>
        <w:tabs>
          <w:tab w:val="left" w:pos="-720"/>
          <w:tab w:val="left" w:pos="1560"/>
        </w:tabs>
        <w:suppressAutoHyphens/>
        <w:ind w:left="993" w:hanging="426"/>
        <w:rPr>
          <w:rFonts w:eastAsiaTheme="majorEastAsia" w:cstheme="majorBidi"/>
        </w:rPr>
      </w:pPr>
      <w:r>
        <w:rPr>
          <w:rFonts w:eastAsiaTheme="majorEastAsia" w:cstheme="majorBidi"/>
        </w:rPr>
        <w:tab/>
      </w:r>
    </w:p>
    <w:p w14:paraId="77A4EB17" w14:textId="4B2F9D0D" w:rsidR="004A3AA3" w:rsidRPr="00F65AD8" w:rsidRDefault="00EF79C6" w:rsidP="00F65AD8">
      <w:pPr>
        <w:tabs>
          <w:tab w:val="left" w:pos="-720"/>
          <w:tab w:val="left" w:pos="1560"/>
        </w:tabs>
        <w:suppressAutoHyphens/>
        <w:ind w:left="993" w:hanging="426"/>
        <w:rPr>
          <w:rFonts w:cs="Arial"/>
        </w:rPr>
      </w:pPr>
      <w:r>
        <w:rPr>
          <w:rFonts w:eastAsiaTheme="majorEastAsia" w:cstheme="majorBidi"/>
        </w:rPr>
        <w:tab/>
      </w:r>
      <w:r w:rsidR="003B6444" w:rsidRPr="00EF79C6">
        <w:rPr>
          <w:rFonts w:eastAsiaTheme="majorEastAsia" w:cstheme="majorBidi"/>
        </w:rPr>
        <w:t xml:space="preserve">Incomplete tenders, </w:t>
      </w:r>
      <w:r w:rsidR="00B91937" w:rsidRPr="00EF79C6">
        <w:rPr>
          <w:rFonts w:eastAsiaTheme="majorEastAsia" w:cstheme="majorBidi"/>
        </w:rPr>
        <w:t>i.e.,</w:t>
      </w:r>
      <w:r w:rsidR="003B6444" w:rsidRPr="00EF79C6">
        <w:rPr>
          <w:rFonts w:eastAsiaTheme="majorEastAsia" w:cstheme="majorBidi"/>
        </w:rPr>
        <w:t xml:space="preserve"> those from which information necessary for the adjudication of the tender is missing, and amended tenders i.e., those amended by the tenderer upon </w:t>
      </w:r>
      <w:r w:rsidR="00EA1A3B" w:rsidRPr="00EF79C6">
        <w:rPr>
          <w:rFonts w:eastAsiaTheme="majorEastAsia" w:cstheme="majorBidi"/>
        </w:rPr>
        <w:t xml:space="preserve">their </w:t>
      </w:r>
      <w:r w:rsidR="003B6444" w:rsidRPr="00EF79C6">
        <w:rPr>
          <w:rFonts w:eastAsiaTheme="majorEastAsia" w:cstheme="majorBidi"/>
        </w:rPr>
        <w:t>own initiative either orally or in writing after the due time for receipt, but prior to the opening of other tenders, should be dealt with in the same way as late tenders (</w:t>
      </w:r>
      <w:r w:rsidR="00697B87" w:rsidRPr="00EF79C6">
        <w:rPr>
          <w:rFonts w:eastAsiaTheme="majorEastAsia" w:cstheme="majorBidi"/>
        </w:rPr>
        <w:t>section</w:t>
      </w:r>
      <w:r w:rsidR="003B6444" w:rsidRPr="00EF79C6">
        <w:rPr>
          <w:rFonts w:eastAsiaTheme="majorEastAsia" w:cstheme="majorBidi"/>
        </w:rPr>
        <w:t xml:space="preserve"> </w:t>
      </w:r>
      <w:r w:rsidR="002B4834" w:rsidRPr="00EF79C6">
        <w:rPr>
          <w:rFonts w:eastAsiaTheme="majorEastAsia" w:cstheme="majorBidi"/>
        </w:rPr>
        <w:t>9.5</w:t>
      </w:r>
      <w:r w:rsidR="003B6444" w:rsidRPr="00EF79C6">
        <w:rPr>
          <w:rFonts w:eastAsiaTheme="majorEastAsia" w:cstheme="majorBidi"/>
        </w:rPr>
        <w:t xml:space="preserve"> below).</w:t>
      </w:r>
      <w:r w:rsidR="004A3AA3" w:rsidRPr="00F65AD8">
        <w:rPr>
          <w:rFonts w:cs="Arial"/>
        </w:rPr>
        <w:t xml:space="preserve">   </w:t>
      </w:r>
    </w:p>
    <w:p w14:paraId="35B36E8E" w14:textId="38282875" w:rsidR="008029ED" w:rsidRPr="002A6450" w:rsidRDefault="008029ED" w:rsidP="004A3AA3">
      <w:pPr>
        <w:pStyle w:val="Heading2Numbered"/>
        <w:spacing w:before="360"/>
        <w:ind w:left="0"/>
        <w:rPr>
          <w:color w:val="002060"/>
        </w:rPr>
      </w:pPr>
      <w:bookmarkStart w:id="47" w:name="_Toc230249789"/>
      <w:r w:rsidRPr="002A6450">
        <w:rPr>
          <w:color w:val="002060"/>
        </w:rPr>
        <w:t>Admissibility</w:t>
      </w:r>
      <w:bookmarkEnd w:id="47"/>
    </w:p>
    <w:p w14:paraId="3FA5122E" w14:textId="77777777" w:rsidR="008029ED" w:rsidRDefault="008029ED" w:rsidP="0070678C">
      <w:pPr>
        <w:pStyle w:val="Heading3Numbered"/>
      </w:pPr>
      <w:r w:rsidRPr="003B6444">
        <w:t>If for any reason the designated officers are of the opinion that the tenders received are not strictly competitive (for example, because their numbers are insufficient or any are amended, incomplete or qualified) no contract shall be awarded without the approval of the Chief Executive Officer.</w:t>
      </w:r>
    </w:p>
    <w:p w14:paraId="3AB74B53" w14:textId="3682163F" w:rsidR="008029ED" w:rsidRDefault="008029ED" w:rsidP="0070678C">
      <w:pPr>
        <w:pStyle w:val="Heading3Numbered"/>
      </w:pPr>
      <w:r w:rsidRPr="003B6444">
        <w:t xml:space="preserve">Where only one tender is sought and/or received, the Chief Executive Officer and Chief Finance Officer shall, as far practicable, ensure that the price to be paid is fair and reasonable and will ensure value for money for the </w:t>
      </w:r>
      <w:r w:rsidR="000C22EE">
        <w:t>ICB</w:t>
      </w:r>
      <w:r w:rsidR="004A3AA3">
        <w:t>.</w:t>
      </w:r>
    </w:p>
    <w:p w14:paraId="2FA0655B" w14:textId="77777777" w:rsidR="008029ED" w:rsidRPr="002A6450" w:rsidRDefault="008029ED" w:rsidP="008029ED">
      <w:pPr>
        <w:pStyle w:val="Heading2Numbered"/>
        <w:spacing w:before="360"/>
        <w:ind w:left="0"/>
        <w:rPr>
          <w:color w:val="002060"/>
        </w:rPr>
      </w:pPr>
      <w:bookmarkStart w:id="48" w:name="_Toc230249790"/>
      <w:r w:rsidRPr="002A6450">
        <w:rPr>
          <w:color w:val="002060"/>
        </w:rPr>
        <w:t>Late tenders</w:t>
      </w:r>
      <w:bookmarkEnd w:id="48"/>
    </w:p>
    <w:p w14:paraId="375D1A31" w14:textId="12CB16B0" w:rsidR="008029ED" w:rsidRDefault="008029ED" w:rsidP="0070678C">
      <w:pPr>
        <w:pStyle w:val="Heading3Numbered"/>
      </w:pPr>
      <w:r w:rsidRPr="00C3503C">
        <w:t>Tenders received after the due time and date, but prior to the opening of the other tenders, may be considered only if the Chief Executive Officer or</w:t>
      </w:r>
      <w:r w:rsidRPr="00B001ED">
        <w:rPr>
          <w:color w:val="auto"/>
        </w:rPr>
        <w:t xml:space="preserve"> </w:t>
      </w:r>
      <w:r w:rsidRPr="00C3503C">
        <w:t>nominated officer decides that there are exceptional circumstances i.e. dispatched in good time but delayed through no fault of the tenderer</w:t>
      </w:r>
      <w:r w:rsidR="004A3AA3">
        <w:t>.</w:t>
      </w:r>
    </w:p>
    <w:p w14:paraId="09C2A43E" w14:textId="2392FD7C" w:rsidR="008029ED" w:rsidRDefault="008029ED" w:rsidP="0070678C">
      <w:pPr>
        <w:pStyle w:val="Heading3Numbered"/>
      </w:pPr>
      <w:r w:rsidRPr="000B7D9F">
        <w:t xml:space="preserve">Only in the most exceptional circumstances will a tender be considered which is received after the opening of the other tenders and only then if the tenders that have been duly opened have not left the custody of the Chief Executive Officer or </w:t>
      </w:r>
      <w:r w:rsidR="00EA1A3B" w:rsidRPr="009B3005">
        <w:rPr>
          <w:rFonts w:cs="Arial"/>
          <w:color w:val="auto"/>
        </w:rPr>
        <w:t>their</w:t>
      </w:r>
      <w:r w:rsidR="00EA1A3B" w:rsidRPr="00EA1A3B">
        <w:rPr>
          <w:rFonts w:cs="Arial"/>
          <w:color w:val="FF0000"/>
        </w:rPr>
        <w:t xml:space="preserve"> </w:t>
      </w:r>
      <w:r w:rsidRPr="000B7D9F">
        <w:t>nominated officer or if the process of evaluation and adjudication has not started</w:t>
      </w:r>
      <w:r w:rsidR="004A3AA3">
        <w:t>.</w:t>
      </w:r>
    </w:p>
    <w:p w14:paraId="0B239B38" w14:textId="33E596C1" w:rsidR="008029ED" w:rsidRDefault="008029ED" w:rsidP="0070678C">
      <w:pPr>
        <w:pStyle w:val="Heading3Numbered"/>
      </w:pPr>
      <w:r w:rsidRPr="000B7D9F">
        <w:t xml:space="preserve">While decisions as to the admissibility of late, incomplete or amended tenders are under consideration, the tender documents shall be kept strictly confidential, recorded, and held in safe custody by the Chief Executive Officer or </w:t>
      </w:r>
      <w:r w:rsidR="00EA1A3B" w:rsidRPr="009B3005">
        <w:rPr>
          <w:rFonts w:cs="Arial"/>
          <w:color w:val="auto"/>
        </w:rPr>
        <w:t xml:space="preserve">their </w:t>
      </w:r>
      <w:r w:rsidRPr="000B7D9F">
        <w:t>nominated officer.</w:t>
      </w:r>
    </w:p>
    <w:p w14:paraId="70066BC3" w14:textId="11D2F1B3" w:rsidR="008029ED" w:rsidRDefault="008029ED" w:rsidP="0070678C">
      <w:pPr>
        <w:pStyle w:val="Heading3Numbered"/>
      </w:pPr>
      <w:r w:rsidRPr="000B7D9F">
        <w:t xml:space="preserve">Accepted late tenders will be reported to the </w:t>
      </w:r>
      <w:r w:rsidR="00A2131A">
        <w:t>Board</w:t>
      </w:r>
      <w:r w:rsidRPr="000B7D9F">
        <w:t>.</w:t>
      </w:r>
    </w:p>
    <w:p w14:paraId="0EF8DF82" w14:textId="77777777" w:rsidR="004A3AA3" w:rsidRPr="004A3AA3" w:rsidRDefault="004A3AA3" w:rsidP="004A3AA3">
      <w:pPr>
        <w:pStyle w:val="BodyText"/>
      </w:pPr>
    </w:p>
    <w:p w14:paraId="6FF0BF6C" w14:textId="77777777" w:rsidR="008029ED" w:rsidRPr="002A6450" w:rsidRDefault="008029ED" w:rsidP="008029ED">
      <w:pPr>
        <w:pStyle w:val="Heading2Numbered"/>
        <w:spacing w:before="360"/>
        <w:ind w:left="0"/>
        <w:rPr>
          <w:color w:val="002060"/>
        </w:rPr>
      </w:pPr>
      <w:bookmarkStart w:id="49" w:name="_Toc230249791"/>
      <w:r w:rsidRPr="002A6450">
        <w:rPr>
          <w:color w:val="002060"/>
        </w:rPr>
        <w:lastRenderedPageBreak/>
        <w:t>Acceptance of formal tenders</w:t>
      </w:r>
      <w:bookmarkEnd w:id="49"/>
    </w:p>
    <w:p w14:paraId="01EC72BF" w14:textId="3C10892E" w:rsidR="008029ED" w:rsidRDefault="008029ED" w:rsidP="0070678C">
      <w:pPr>
        <w:pStyle w:val="Heading3Numbered"/>
      </w:pPr>
      <w:r>
        <w:t xml:space="preserve">Any discussions with a tenderer which are deemed necessary to clarify technical aspects of </w:t>
      </w:r>
      <w:r w:rsidR="00EA1A3B" w:rsidRPr="009B3005">
        <w:rPr>
          <w:rFonts w:cs="Arial"/>
          <w:color w:val="auto"/>
        </w:rPr>
        <w:t xml:space="preserve">their </w:t>
      </w:r>
      <w:r>
        <w:t>tender before the award of a contract will not disqualify the tender.</w:t>
      </w:r>
      <w:r w:rsidR="0016726D" w:rsidRPr="0016726D">
        <w:t xml:space="preserve"> </w:t>
      </w:r>
    </w:p>
    <w:p w14:paraId="5CCFD6FA" w14:textId="5F2DF667" w:rsidR="004F7E3E" w:rsidRDefault="005156FA" w:rsidP="0070678C">
      <w:pPr>
        <w:pStyle w:val="Heading3Numbered"/>
      </w:pPr>
      <w:r w:rsidRPr="009B3005">
        <w:rPr>
          <w:color w:val="auto"/>
        </w:rPr>
        <w:t xml:space="preserve">The most </w:t>
      </w:r>
      <w:r w:rsidR="00D066EB" w:rsidRPr="009B3005">
        <w:rPr>
          <w:color w:val="auto"/>
        </w:rPr>
        <w:t>economically</w:t>
      </w:r>
      <w:r w:rsidRPr="009B3005">
        <w:rPr>
          <w:color w:val="auto"/>
        </w:rPr>
        <w:t xml:space="preserve"> advantageous tender</w:t>
      </w:r>
      <w:r w:rsidR="004F7E3E" w:rsidRPr="009B3005">
        <w:rPr>
          <w:color w:val="auto"/>
        </w:rPr>
        <w:t xml:space="preserve">, </w:t>
      </w:r>
      <w:r w:rsidR="004F7E3E">
        <w:t xml:space="preserve">if payment is to be made by the </w:t>
      </w:r>
      <w:r w:rsidR="000C22EE">
        <w:t>ICB</w:t>
      </w:r>
      <w:r w:rsidR="004F7E3E">
        <w:t xml:space="preserve">, or the highest, if payment is to be received by the </w:t>
      </w:r>
      <w:r w:rsidR="000C22EE">
        <w:t>ICB</w:t>
      </w:r>
      <w:r w:rsidR="004F7E3E">
        <w:t xml:space="preserve">, shall be accepted unless there are good and sufficient reasons to the contrary. </w:t>
      </w:r>
      <w:r w:rsidR="00C3242A">
        <w:t xml:space="preserve"> </w:t>
      </w:r>
      <w:r w:rsidR="004F7E3E">
        <w:t>Such reasons shall be set out in either the contract file, or other appropriate record</w:t>
      </w:r>
      <w:r w:rsidR="00C3503C">
        <w:t xml:space="preserve">.  </w:t>
      </w:r>
      <w:r w:rsidR="004F7E3E">
        <w:t xml:space="preserve">It is accepted that for professional services such as management consultancy, the lowest price does not always represent the best value for money.  Other factors affecting the success of a project </w:t>
      </w:r>
      <w:r w:rsidR="004A3AA3" w:rsidRPr="009B3005">
        <w:rPr>
          <w:color w:val="auto"/>
        </w:rPr>
        <w:t xml:space="preserve">will be included in the criteria section of the invitation to tenders and may </w:t>
      </w:r>
      <w:r w:rsidR="004F7E3E" w:rsidRPr="009B3005">
        <w:rPr>
          <w:color w:val="auto"/>
        </w:rPr>
        <w:t>include</w:t>
      </w:r>
      <w:r w:rsidR="004F7E3E">
        <w:t>:</w:t>
      </w:r>
    </w:p>
    <w:p w14:paraId="71F8A886" w14:textId="77777777" w:rsidR="00C3503C" w:rsidRDefault="004F7E3E" w:rsidP="0074740C">
      <w:pPr>
        <w:pStyle w:val="Heading3Numbered"/>
        <w:numPr>
          <w:ilvl w:val="0"/>
          <w:numId w:val="38"/>
        </w:numPr>
      </w:pPr>
      <w:r>
        <w:t>experience and qualifications of team members;</w:t>
      </w:r>
    </w:p>
    <w:p w14:paraId="35D0899E" w14:textId="77777777" w:rsidR="00C3503C" w:rsidRDefault="004F7E3E" w:rsidP="0074740C">
      <w:pPr>
        <w:pStyle w:val="Heading3Numbered"/>
        <w:numPr>
          <w:ilvl w:val="0"/>
          <w:numId w:val="38"/>
        </w:numPr>
      </w:pPr>
      <w:r>
        <w:t>understanding of client’s needs;</w:t>
      </w:r>
    </w:p>
    <w:p w14:paraId="61F1475E" w14:textId="77777777" w:rsidR="00C3503C" w:rsidRDefault="004F7E3E" w:rsidP="0074740C">
      <w:pPr>
        <w:pStyle w:val="Heading3Numbered"/>
        <w:numPr>
          <w:ilvl w:val="0"/>
          <w:numId w:val="38"/>
        </w:numPr>
      </w:pPr>
      <w:r>
        <w:t>feasibility and credibility of proposed approach;</w:t>
      </w:r>
    </w:p>
    <w:p w14:paraId="6F31786B" w14:textId="77777777" w:rsidR="00C3503C" w:rsidRDefault="004F7E3E" w:rsidP="0074740C">
      <w:pPr>
        <w:pStyle w:val="Heading3Numbered"/>
        <w:numPr>
          <w:ilvl w:val="0"/>
          <w:numId w:val="38"/>
        </w:numPr>
      </w:pPr>
      <w:r>
        <w:t>ability to complete the project on time.</w:t>
      </w:r>
    </w:p>
    <w:p w14:paraId="027F025C" w14:textId="5EC77551" w:rsidR="008029ED" w:rsidRDefault="008029ED" w:rsidP="0070678C">
      <w:pPr>
        <w:pStyle w:val="Heading3Numbered"/>
      </w:pPr>
      <w:r w:rsidRPr="008029ED">
        <w:t xml:space="preserve">Where other factors are </w:t>
      </w:r>
      <w:proofErr w:type="gramStart"/>
      <w:r w:rsidRPr="008029ED">
        <w:t>taken into account</w:t>
      </w:r>
      <w:proofErr w:type="gramEnd"/>
      <w:r w:rsidRPr="008029ED">
        <w:t xml:space="preserve"> in selecting a tenderer, these must be clearly recorded and documented in the contract file, and the reason(s) for not accepting the lowest tender clearly stated.</w:t>
      </w:r>
    </w:p>
    <w:p w14:paraId="1046FADE" w14:textId="10379CC3" w:rsidR="004F7E3E" w:rsidRDefault="004F7E3E" w:rsidP="0070678C">
      <w:pPr>
        <w:pStyle w:val="Heading3Numbered"/>
      </w:pPr>
      <w:r>
        <w:t xml:space="preserve">No tender shall be accepted which will commit expenditure </w:t>
      </w:r>
      <w:proofErr w:type="gramStart"/>
      <w:r>
        <w:t>in excess of</w:t>
      </w:r>
      <w:proofErr w:type="gramEnd"/>
      <w:r>
        <w:t xml:space="preserve"> that which has been allocated by the </w:t>
      </w:r>
      <w:r w:rsidR="000C22EE" w:rsidRPr="009B3005">
        <w:rPr>
          <w:color w:val="auto"/>
        </w:rPr>
        <w:t>ICB</w:t>
      </w:r>
      <w:r w:rsidRPr="009B3005">
        <w:rPr>
          <w:color w:val="auto"/>
        </w:rPr>
        <w:t xml:space="preserve"> </w:t>
      </w:r>
      <w:r w:rsidR="004A3AA3" w:rsidRPr="009B3005">
        <w:rPr>
          <w:color w:val="auto"/>
        </w:rPr>
        <w:t xml:space="preserve">(section 8.2) </w:t>
      </w:r>
      <w:r w:rsidRPr="009B3005">
        <w:rPr>
          <w:color w:val="auto"/>
        </w:rPr>
        <w:t xml:space="preserve">and </w:t>
      </w:r>
      <w:r>
        <w:t xml:space="preserve">which is not in accordance with these </w:t>
      </w:r>
      <w:r w:rsidR="004A3AA3">
        <w:t>i</w:t>
      </w:r>
      <w:r>
        <w:t>nstructions except with the authorisation of the Chief Executive Officer.</w:t>
      </w:r>
    </w:p>
    <w:p w14:paraId="59DA0BAB" w14:textId="77777777" w:rsidR="00C3503C" w:rsidRDefault="004F7E3E" w:rsidP="0070678C">
      <w:pPr>
        <w:pStyle w:val="Heading3Numbered"/>
      </w:pPr>
      <w:r>
        <w:t>The use of these procedures must demonstrate that the award of the contract was:</w:t>
      </w:r>
    </w:p>
    <w:p w14:paraId="033FAF86" w14:textId="77E2FB92" w:rsidR="004F7E3E" w:rsidRDefault="004F7E3E" w:rsidP="0074740C">
      <w:pPr>
        <w:pStyle w:val="Heading3Numbered"/>
        <w:numPr>
          <w:ilvl w:val="0"/>
          <w:numId w:val="39"/>
        </w:numPr>
      </w:pPr>
      <w:r>
        <w:t xml:space="preserve">not </w:t>
      </w:r>
      <w:proofErr w:type="gramStart"/>
      <w:r>
        <w:t>in excess of</w:t>
      </w:r>
      <w:proofErr w:type="gramEnd"/>
      <w:r>
        <w:t xml:space="preserve"> the going market rate / price current at the time the contract was awarded;</w:t>
      </w:r>
    </w:p>
    <w:p w14:paraId="3D3D56A9" w14:textId="4633A1C0" w:rsidR="004F7E3E" w:rsidRDefault="004F7E3E" w:rsidP="0074740C">
      <w:pPr>
        <w:pStyle w:val="Heading3Numbered"/>
        <w:numPr>
          <w:ilvl w:val="0"/>
          <w:numId w:val="39"/>
        </w:numPr>
      </w:pPr>
      <w:r>
        <w:t>that best value for money was achieved.</w:t>
      </w:r>
    </w:p>
    <w:p w14:paraId="66393484" w14:textId="2D735B4A" w:rsidR="004F7E3E" w:rsidRDefault="004F7E3E" w:rsidP="0070678C">
      <w:pPr>
        <w:pStyle w:val="Heading3Numbered"/>
      </w:pPr>
      <w:r>
        <w:t xml:space="preserve">All </w:t>
      </w:r>
      <w:r w:rsidR="004A3AA3">
        <w:t>t</w:t>
      </w:r>
      <w:r>
        <w:t>enders should be treated as confidential and should be retained for inspection</w:t>
      </w:r>
      <w:r w:rsidRPr="007166D7">
        <w:t>.</w:t>
      </w:r>
    </w:p>
    <w:p w14:paraId="168E61A8" w14:textId="7CC25AD2" w:rsidR="004F7E3E" w:rsidRPr="002A6450" w:rsidRDefault="004F7E3E" w:rsidP="00171ABE">
      <w:pPr>
        <w:pStyle w:val="Heading2Numbered"/>
        <w:spacing w:before="360"/>
        <w:ind w:left="0"/>
        <w:rPr>
          <w:color w:val="002060"/>
        </w:rPr>
      </w:pPr>
      <w:bookmarkStart w:id="50" w:name="_Toc230249792"/>
      <w:r w:rsidRPr="002A6450">
        <w:rPr>
          <w:color w:val="002060"/>
        </w:rPr>
        <w:t>Tender reports to the ICB Board</w:t>
      </w:r>
      <w:bookmarkEnd w:id="50"/>
    </w:p>
    <w:p w14:paraId="5ACDC61C" w14:textId="483AF448" w:rsidR="004F7E3E" w:rsidRDefault="004F7E3E" w:rsidP="0070678C">
      <w:pPr>
        <w:pStyle w:val="Heading3Numbered"/>
      </w:pPr>
      <w:r w:rsidRPr="004F7E3E">
        <w:t xml:space="preserve">Reports to the </w:t>
      </w:r>
      <w:r w:rsidR="0032611D">
        <w:t>Board</w:t>
      </w:r>
      <w:r w:rsidRPr="004F7E3E">
        <w:t xml:space="preserve"> will be made on an exceptional circumstance basis only.</w:t>
      </w:r>
    </w:p>
    <w:p w14:paraId="02ABAE37" w14:textId="57BEDFF5" w:rsidR="006C6033" w:rsidRPr="006C6033" w:rsidRDefault="006C6033" w:rsidP="006C6033">
      <w:pPr>
        <w:pStyle w:val="BodyText"/>
        <w:sectPr w:rsidR="006C6033" w:rsidRPr="006C6033" w:rsidSect="00767381">
          <w:pgSz w:w="11906" w:h="16838" w:code="9"/>
          <w:pgMar w:top="1418" w:right="1928" w:bottom="1247" w:left="1077" w:header="624" w:footer="510" w:gutter="0"/>
          <w:cols w:space="708"/>
          <w:docGrid w:linePitch="360"/>
        </w:sectPr>
      </w:pPr>
    </w:p>
    <w:p w14:paraId="072EB078" w14:textId="15376BAA" w:rsidR="006C0CBA" w:rsidRPr="002A6450" w:rsidRDefault="00D3000F" w:rsidP="004C1E2A">
      <w:pPr>
        <w:pStyle w:val="Heading1Numbered"/>
        <w:ind w:left="0"/>
        <w:rPr>
          <w:color w:val="002060"/>
          <w:sz w:val="52"/>
          <w:szCs w:val="24"/>
        </w:rPr>
      </w:pPr>
      <w:bookmarkStart w:id="51" w:name="_Toc230249793"/>
      <w:r w:rsidRPr="002A6450">
        <w:rPr>
          <w:color w:val="002060"/>
          <w:sz w:val="52"/>
          <w:szCs w:val="24"/>
        </w:rPr>
        <w:lastRenderedPageBreak/>
        <w:t>Staff costs</w:t>
      </w:r>
      <w:r w:rsidR="004C1E2A" w:rsidRPr="002A6450">
        <w:rPr>
          <w:color w:val="002060"/>
          <w:sz w:val="52"/>
          <w:szCs w:val="24"/>
        </w:rPr>
        <w:t xml:space="preserve"> and</w:t>
      </w:r>
      <w:r w:rsidRPr="002A6450">
        <w:rPr>
          <w:color w:val="002060"/>
          <w:sz w:val="52"/>
          <w:szCs w:val="24"/>
        </w:rPr>
        <w:t xml:space="preserve"> staff </w:t>
      </w:r>
      <w:r w:rsidR="00324EA2" w:rsidRPr="002A6450">
        <w:rPr>
          <w:color w:val="002060"/>
          <w:sz w:val="52"/>
          <w:szCs w:val="24"/>
        </w:rPr>
        <w:t>r</w:t>
      </w:r>
      <w:r w:rsidRPr="002A6450">
        <w:rPr>
          <w:color w:val="002060"/>
          <w:sz w:val="52"/>
          <w:szCs w:val="24"/>
        </w:rPr>
        <w:t xml:space="preserve">elated non pay </w:t>
      </w:r>
      <w:r w:rsidR="008A6AC4" w:rsidRPr="002A6450">
        <w:rPr>
          <w:color w:val="002060"/>
          <w:sz w:val="52"/>
          <w:szCs w:val="24"/>
        </w:rPr>
        <w:t>e</w:t>
      </w:r>
      <w:r w:rsidRPr="002A6450">
        <w:rPr>
          <w:color w:val="002060"/>
          <w:sz w:val="52"/>
          <w:szCs w:val="24"/>
        </w:rPr>
        <w:t>xpenditure</w:t>
      </w:r>
      <w:bookmarkEnd w:id="51"/>
    </w:p>
    <w:p w14:paraId="6510742F" w14:textId="0195AC45" w:rsidR="008C4790" w:rsidRPr="002A6450" w:rsidRDefault="008C4790" w:rsidP="000924C5">
      <w:pPr>
        <w:pStyle w:val="Heading2Numbered"/>
        <w:ind w:left="0"/>
        <w:rPr>
          <w:color w:val="002060"/>
        </w:rPr>
      </w:pPr>
      <w:bookmarkStart w:id="52" w:name="_Toc230249794"/>
      <w:r w:rsidRPr="002A6450">
        <w:rPr>
          <w:color w:val="002060"/>
        </w:rPr>
        <w:t>Remuneration and terms of service</w:t>
      </w:r>
      <w:bookmarkEnd w:id="52"/>
    </w:p>
    <w:p w14:paraId="45ABAA48" w14:textId="7B9EEEAD" w:rsidR="008C4790" w:rsidRDefault="00CC6B65" w:rsidP="0070678C">
      <w:pPr>
        <w:pStyle w:val="Heading3Numbered"/>
      </w:pPr>
      <w:r w:rsidRPr="00CC6B65">
        <w:t xml:space="preserve">In accordance with </w:t>
      </w:r>
      <w:r w:rsidR="006D1402">
        <w:t>ICB</w:t>
      </w:r>
      <w:r w:rsidRPr="00CC6B65">
        <w:t xml:space="preserve"> Constitution the </w:t>
      </w:r>
      <w:r w:rsidR="006D1402">
        <w:t>Board</w:t>
      </w:r>
      <w:r w:rsidRPr="00CC6B65">
        <w:t xml:space="preserve"> shall establish a Remuneration and Terms of Service Committee, with clearly defined terms of reference, specifying which posts fall within its area of responsibility, its composition, and the arrangements for reporting.  (See NHS guidance contained in the </w:t>
      </w:r>
      <w:hyperlink r:id="rId21" w:history="1">
        <w:r w:rsidRPr="00697B87">
          <w:rPr>
            <w:rStyle w:val="Hyperlink"/>
          </w:rPr>
          <w:t>Higgs report</w:t>
        </w:r>
      </w:hyperlink>
      <w:r w:rsidRPr="00CC6B65">
        <w:t>).</w:t>
      </w:r>
    </w:p>
    <w:p w14:paraId="38B68FDE" w14:textId="77777777" w:rsidR="00CC6B65" w:rsidRDefault="00CC6B65" w:rsidP="0070678C">
      <w:pPr>
        <w:pStyle w:val="Heading3Numbered"/>
      </w:pPr>
      <w:r>
        <w:t>The Committee will operate within the scheme of delegation agreed and agreed terms of reference:</w:t>
      </w:r>
    </w:p>
    <w:p w14:paraId="02F9BE43" w14:textId="2B3582DD" w:rsidR="008C4790" w:rsidRPr="002A6450" w:rsidRDefault="008C4790" w:rsidP="008C4790">
      <w:pPr>
        <w:pStyle w:val="Heading2Numbered"/>
        <w:spacing w:before="360"/>
        <w:ind w:left="0"/>
        <w:rPr>
          <w:color w:val="002060"/>
        </w:rPr>
      </w:pPr>
      <w:bookmarkStart w:id="53" w:name="_Toc230249795"/>
      <w:r w:rsidRPr="002A6450">
        <w:rPr>
          <w:color w:val="002060"/>
        </w:rPr>
        <w:t>Funded establishment</w:t>
      </w:r>
      <w:bookmarkEnd w:id="53"/>
    </w:p>
    <w:p w14:paraId="3E9F5A06" w14:textId="7C6AD149" w:rsidR="008C4790" w:rsidRDefault="00E65F71" w:rsidP="0070678C">
      <w:pPr>
        <w:pStyle w:val="Heading3Numbered"/>
      </w:pPr>
      <w:r>
        <w:t>The staffing plans incorporated within the annual budget will form the funded establishment.</w:t>
      </w:r>
    </w:p>
    <w:p w14:paraId="6F2B77E3" w14:textId="6D820E85" w:rsidR="008C4790" w:rsidRPr="008C4790" w:rsidRDefault="00E65F71" w:rsidP="0070678C">
      <w:pPr>
        <w:pStyle w:val="Heading3Numbered"/>
      </w:pPr>
      <w:r w:rsidRPr="00E65F71">
        <w:t xml:space="preserve">The funded establishment of any department may not be varied without the approval of the Chief Executive Officer or </w:t>
      </w:r>
      <w:r w:rsidR="00EA1A3B" w:rsidRPr="00F37C68">
        <w:rPr>
          <w:rFonts w:cs="Arial"/>
          <w:color w:val="auto"/>
        </w:rPr>
        <w:t xml:space="preserve">their </w:t>
      </w:r>
      <w:r w:rsidRPr="00E65F71">
        <w:t>nominated deputy.</w:t>
      </w:r>
    </w:p>
    <w:p w14:paraId="2E76BB37" w14:textId="1A728EA1" w:rsidR="008C4790" w:rsidRPr="002A6450" w:rsidRDefault="008C4790" w:rsidP="008C4790">
      <w:pPr>
        <w:pStyle w:val="Heading2Numbered"/>
        <w:spacing w:before="360"/>
        <w:ind w:left="0"/>
        <w:rPr>
          <w:color w:val="002060"/>
        </w:rPr>
      </w:pPr>
      <w:bookmarkStart w:id="54" w:name="_Toc230249796"/>
      <w:r w:rsidRPr="002A6450">
        <w:rPr>
          <w:color w:val="002060"/>
        </w:rPr>
        <w:t>Staff appointments</w:t>
      </w:r>
      <w:bookmarkEnd w:id="54"/>
    </w:p>
    <w:p w14:paraId="21B074B4" w14:textId="13ED5415" w:rsidR="00E65F71" w:rsidRDefault="00E65F71" w:rsidP="0070678C">
      <w:pPr>
        <w:pStyle w:val="Heading3Numbered"/>
      </w:pPr>
      <w:r>
        <w:t xml:space="preserve">No officer or </w:t>
      </w:r>
      <w:r w:rsidR="00C3242A">
        <w:t>m</w:t>
      </w:r>
      <w:r>
        <w:t xml:space="preserve">ember of the </w:t>
      </w:r>
      <w:r w:rsidR="0032611D">
        <w:t>Board</w:t>
      </w:r>
      <w:r>
        <w:t xml:space="preserve"> or employee may engage, re-engage, or re-grade employees, either on a permanent or temporary nature, or hire agency staff, or agree to changes in any aspect of remuneration:</w:t>
      </w:r>
    </w:p>
    <w:p w14:paraId="745EA25F" w14:textId="17075A47" w:rsidR="00687E13" w:rsidRPr="00FC02FE" w:rsidRDefault="00687E13" w:rsidP="0074740C">
      <w:pPr>
        <w:pStyle w:val="Heading3Numbered"/>
        <w:numPr>
          <w:ilvl w:val="0"/>
          <w:numId w:val="55"/>
        </w:numPr>
      </w:pPr>
      <w:r w:rsidRPr="00FC02FE">
        <w:t xml:space="preserve">Without approval from the ICB vacancy control panel, and </w:t>
      </w:r>
    </w:p>
    <w:p w14:paraId="04A54B21" w14:textId="52D843EC" w:rsidR="008C4790" w:rsidRDefault="00687E13" w:rsidP="0074740C">
      <w:pPr>
        <w:pStyle w:val="Heading3Numbered"/>
        <w:numPr>
          <w:ilvl w:val="0"/>
          <w:numId w:val="55"/>
        </w:numPr>
      </w:pPr>
      <w:r w:rsidRPr="00FC02FE">
        <w:rPr>
          <w:color w:val="auto"/>
        </w:rPr>
        <w:t>unless it</w:t>
      </w:r>
      <w:r w:rsidR="00FC02FE">
        <w:rPr>
          <w:color w:val="auto"/>
        </w:rPr>
        <w:t>’</w:t>
      </w:r>
      <w:r w:rsidRPr="00FC02FE">
        <w:rPr>
          <w:color w:val="auto"/>
        </w:rPr>
        <w:t xml:space="preserve">s </w:t>
      </w:r>
      <w:r w:rsidR="00E65F71">
        <w:t>within the limit of their approved budget and funded establishment.</w:t>
      </w:r>
    </w:p>
    <w:p w14:paraId="6EFB30FC" w14:textId="5EBC6411" w:rsidR="008C4790" w:rsidRPr="008C4790" w:rsidRDefault="00E65F71" w:rsidP="0070678C">
      <w:pPr>
        <w:pStyle w:val="Heading3Numbered"/>
      </w:pPr>
      <w:r w:rsidRPr="00E65F71">
        <w:t xml:space="preserve">The </w:t>
      </w:r>
      <w:r w:rsidR="00D066EB">
        <w:t>J</w:t>
      </w:r>
      <w:r w:rsidR="00ED190D">
        <w:t xml:space="preserve">oint Remuneration Committee </w:t>
      </w:r>
      <w:r w:rsidRPr="00E65F71">
        <w:t xml:space="preserve">will approve </w:t>
      </w:r>
      <w:r w:rsidR="000924C5">
        <w:t xml:space="preserve">policies </w:t>
      </w:r>
      <w:r w:rsidRPr="00E65F71">
        <w:t xml:space="preserve">presented by the Chief </w:t>
      </w:r>
      <w:r w:rsidR="000924C5" w:rsidRPr="00F37C68">
        <w:t xml:space="preserve">People </w:t>
      </w:r>
      <w:r w:rsidRPr="00F37C68">
        <w:t xml:space="preserve">Officer for the determination of commencing pay rates, condition of service, etc. for </w:t>
      </w:r>
      <w:r w:rsidRPr="00E65F71">
        <w:t>employees.</w:t>
      </w:r>
    </w:p>
    <w:p w14:paraId="7EFD9716" w14:textId="4D9AF7C3" w:rsidR="008C4790" w:rsidRPr="002A6450" w:rsidRDefault="008C4790" w:rsidP="00E65F71">
      <w:pPr>
        <w:pStyle w:val="Heading2Numbered"/>
        <w:spacing w:before="360"/>
        <w:ind w:left="0"/>
        <w:rPr>
          <w:color w:val="002060"/>
        </w:rPr>
      </w:pPr>
      <w:bookmarkStart w:id="55" w:name="_Toc230249797"/>
      <w:r w:rsidRPr="002A6450">
        <w:rPr>
          <w:color w:val="002060"/>
        </w:rPr>
        <w:t>Processing payroll</w:t>
      </w:r>
      <w:bookmarkEnd w:id="55"/>
    </w:p>
    <w:p w14:paraId="788E57F8" w14:textId="6A2A038D" w:rsidR="00E65F71" w:rsidRDefault="00E65F71" w:rsidP="0070678C">
      <w:pPr>
        <w:pStyle w:val="Heading3Numbered"/>
      </w:pPr>
      <w:r>
        <w:t>The Chief Finance Officer is responsible for:</w:t>
      </w:r>
    </w:p>
    <w:p w14:paraId="1722F3FF" w14:textId="08C93BEB" w:rsidR="00E65F71" w:rsidRDefault="00E65F71" w:rsidP="0074740C">
      <w:pPr>
        <w:pStyle w:val="Heading3Numbered"/>
        <w:numPr>
          <w:ilvl w:val="0"/>
          <w:numId w:val="56"/>
        </w:numPr>
      </w:pPr>
      <w:r>
        <w:t>agreeing with HR policies for the final determination of pay;</w:t>
      </w:r>
    </w:p>
    <w:p w14:paraId="32F72DE4" w14:textId="667D4F30" w:rsidR="00E65F71" w:rsidRDefault="00E65F71" w:rsidP="0074740C">
      <w:pPr>
        <w:pStyle w:val="Heading3Numbered"/>
        <w:numPr>
          <w:ilvl w:val="0"/>
          <w:numId w:val="56"/>
        </w:numPr>
      </w:pPr>
      <w:r>
        <w:lastRenderedPageBreak/>
        <w:t>making payment on agreed dates;</w:t>
      </w:r>
    </w:p>
    <w:p w14:paraId="2D846D78" w14:textId="56304742" w:rsidR="00E65F71" w:rsidRDefault="00E65F71" w:rsidP="0074740C">
      <w:pPr>
        <w:pStyle w:val="Heading3Numbered"/>
        <w:numPr>
          <w:ilvl w:val="0"/>
          <w:numId w:val="56"/>
        </w:numPr>
      </w:pPr>
      <w:r>
        <w:t>agreeing methods of payment;</w:t>
      </w:r>
    </w:p>
    <w:p w14:paraId="2909335F" w14:textId="77777777" w:rsidR="00F37C68" w:rsidRPr="00F37C68" w:rsidRDefault="00F37C68" w:rsidP="00F37C68">
      <w:pPr>
        <w:pStyle w:val="BodyText"/>
      </w:pPr>
    </w:p>
    <w:p w14:paraId="59F9BEF3" w14:textId="41A54CA1" w:rsidR="00E65F71" w:rsidRDefault="00212C98" w:rsidP="0070678C">
      <w:pPr>
        <w:pStyle w:val="Heading3Numbered"/>
      </w:pPr>
      <w:r>
        <w:t>The Chief Finance Officer will ensure that the payroll system has adequate internal controls and suitable arrangements for processing deductions and exceptional payments</w:t>
      </w:r>
      <w:r w:rsidRPr="00E65F71">
        <w:t xml:space="preserve"> </w:t>
      </w:r>
      <w:r w:rsidR="00E65F71" w:rsidRPr="00E65F71">
        <w:t>The Chief Finance Officer will issue instructions regarding</w:t>
      </w:r>
      <w:r>
        <w:t xml:space="preserve"> </w:t>
      </w:r>
      <w:r w:rsidR="00E65F71">
        <w:t>authority to release payroll data under the provisions of the Data Protection Act;</w:t>
      </w:r>
    </w:p>
    <w:p w14:paraId="3EEC9559" w14:textId="371EFE17" w:rsidR="00E65F71" w:rsidRDefault="00E65F71" w:rsidP="0070678C">
      <w:pPr>
        <w:pStyle w:val="Heading3Numbered"/>
      </w:pPr>
      <w:r w:rsidRPr="00E65F71">
        <w:t>Appropriately nominated managers have delegated responsibility for:</w:t>
      </w:r>
    </w:p>
    <w:p w14:paraId="00A57B1E" w14:textId="77777777" w:rsidR="00E65F71" w:rsidRDefault="00E65F71" w:rsidP="0074740C">
      <w:pPr>
        <w:pStyle w:val="BodyText"/>
        <w:numPr>
          <w:ilvl w:val="0"/>
          <w:numId w:val="57"/>
        </w:numPr>
        <w:spacing w:before="120" w:after="240" w:line="240" w:lineRule="auto"/>
        <w:ind w:left="714" w:hanging="357"/>
      </w:pPr>
      <w:r>
        <w:t>submitting time records, and other notifications in accordance with agreed timetables;</w:t>
      </w:r>
    </w:p>
    <w:p w14:paraId="6770E618" w14:textId="42889D52" w:rsidR="00E65F71" w:rsidRDefault="00E65F71" w:rsidP="0074740C">
      <w:pPr>
        <w:pStyle w:val="BodyText"/>
        <w:numPr>
          <w:ilvl w:val="0"/>
          <w:numId w:val="57"/>
        </w:numPr>
        <w:spacing w:before="120" w:after="240" w:line="240" w:lineRule="auto"/>
        <w:ind w:left="714" w:hanging="357"/>
      </w:pPr>
      <w:r>
        <w:t xml:space="preserve">completing time records and other notifications in accordance with the Chief Finance Officer's instructions; </w:t>
      </w:r>
    </w:p>
    <w:p w14:paraId="3B067F8A" w14:textId="1337FF17" w:rsidR="00E65F71" w:rsidRPr="00E65F71" w:rsidRDefault="00E65F71" w:rsidP="0074740C">
      <w:pPr>
        <w:pStyle w:val="BodyText"/>
        <w:numPr>
          <w:ilvl w:val="0"/>
          <w:numId w:val="57"/>
        </w:numPr>
        <w:spacing w:before="120" w:after="240" w:line="240" w:lineRule="auto"/>
        <w:ind w:left="714" w:hanging="357"/>
      </w:pPr>
      <w:r>
        <w:t>submitting termination forms in the prescribed format immediately upon knowing the effective date of an employees or officer’s resignation, termination or retirement.  Where an employee fails to report for duty or to fulfil obligations in circumstances that suggest they have left without notice, the Chief Finance Officer must be informed immediately</w:t>
      </w:r>
      <w:r w:rsidR="00EF139A">
        <w:t>;</w:t>
      </w:r>
    </w:p>
    <w:p w14:paraId="0B0EB45C" w14:textId="70BEC580" w:rsidR="008C4790" w:rsidRPr="00212C98" w:rsidRDefault="008C4790" w:rsidP="00E65F71">
      <w:pPr>
        <w:pStyle w:val="Heading2Numbered"/>
        <w:spacing w:before="360"/>
        <w:ind w:left="0"/>
        <w:rPr>
          <w:color w:val="002060"/>
        </w:rPr>
      </w:pPr>
      <w:bookmarkStart w:id="56" w:name="_Toc230249798"/>
      <w:r w:rsidRPr="00212C98">
        <w:rPr>
          <w:color w:val="002060"/>
        </w:rPr>
        <w:t>Contracts of employment</w:t>
      </w:r>
      <w:bookmarkEnd w:id="56"/>
    </w:p>
    <w:p w14:paraId="4A4D864A" w14:textId="443DB66F" w:rsidR="008C4790" w:rsidRPr="008C4790" w:rsidRDefault="00E65F71" w:rsidP="0070678C">
      <w:pPr>
        <w:pStyle w:val="Heading3Numbered"/>
      </w:pPr>
      <w:r w:rsidRPr="00E65F71">
        <w:t xml:space="preserve">The </w:t>
      </w:r>
      <w:r w:rsidR="006D1402">
        <w:t>Board</w:t>
      </w:r>
      <w:r w:rsidRPr="00E65F71">
        <w:t xml:space="preserve"> shall delegate responsibility to </w:t>
      </w:r>
      <w:r w:rsidR="00B63807">
        <w:t>the relevant Chief Officer</w:t>
      </w:r>
      <w:r w:rsidRPr="00E65F71">
        <w:t xml:space="preserve"> for:</w:t>
      </w:r>
    </w:p>
    <w:p w14:paraId="444B48AB" w14:textId="191F531C" w:rsidR="001710BF" w:rsidRDefault="001710BF" w:rsidP="0074740C">
      <w:pPr>
        <w:pStyle w:val="BodyText"/>
        <w:numPr>
          <w:ilvl w:val="0"/>
          <w:numId w:val="58"/>
        </w:numPr>
        <w:spacing w:before="120" w:after="240" w:line="240" w:lineRule="auto"/>
        <w:ind w:left="1134" w:hanging="357"/>
      </w:pPr>
      <w:r>
        <w:t xml:space="preserve">ensuring that all employees are issued with a </w:t>
      </w:r>
      <w:r w:rsidR="00C3242A">
        <w:t>c</w:t>
      </w:r>
      <w:r>
        <w:t xml:space="preserve">ontract of </w:t>
      </w:r>
      <w:r w:rsidR="00C3242A">
        <w:t>e</w:t>
      </w:r>
      <w:r>
        <w:t xml:space="preserve">mployment in a form approved by the </w:t>
      </w:r>
      <w:r w:rsidR="006D1402">
        <w:t>Board</w:t>
      </w:r>
      <w:r>
        <w:t xml:space="preserve"> and which complies with employment legislation; and</w:t>
      </w:r>
    </w:p>
    <w:p w14:paraId="7536E88A" w14:textId="59E15B85" w:rsidR="008C4790" w:rsidRPr="00F37C68" w:rsidRDefault="001710BF" w:rsidP="0074740C">
      <w:pPr>
        <w:pStyle w:val="BodyText"/>
        <w:numPr>
          <w:ilvl w:val="0"/>
          <w:numId w:val="58"/>
        </w:numPr>
        <w:spacing w:before="120" w:after="240" w:line="240" w:lineRule="auto"/>
        <w:ind w:left="1134" w:hanging="357"/>
        <w:rPr>
          <w:color w:val="auto"/>
        </w:rPr>
      </w:pPr>
      <w:r w:rsidRPr="00F37C68">
        <w:rPr>
          <w:color w:val="auto"/>
        </w:rPr>
        <w:t>dealing with variations to, or termination of, contracts of employment.</w:t>
      </w:r>
      <w:r w:rsidR="000924C5" w:rsidRPr="00F37C68">
        <w:rPr>
          <w:color w:val="auto"/>
        </w:rPr>
        <w:t xml:space="preserve">  This includes cases subject to disciplinary rules and procedure and where suspension is under review in line with the delegation of authority as detailed in the Disciplinary policy.  </w:t>
      </w:r>
      <w:r w:rsidR="00853BF7">
        <w:rPr>
          <w:color w:val="auto"/>
        </w:rPr>
        <w:t>Where necessary, the Remuneration Committee will be involved.</w:t>
      </w:r>
    </w:p>
    <w:p w14:paraId="011A902A" w14:textId="40ADF059" w:rsidR="001B7761" w:rsidRDefault="001B7761">
      <w:r>
        <w:br w:type="page"/>
      </w:r>
    </w:p>
    <w:p w14:paraId="0859A58E" w14:textId="010328F4" w:rsidR="001B7761" w:rsidRPr="00212C98" w:rsidRDefault="001B7761" w:rsidP="004C1E2A">
      <w:pPr>
        <w:pStyle w:val="Heading1Numbered"/>
        <w:ind w:left="0"/>
        <w:rPr>
          <w:color w:val="002060"/>
          <w:sz w:val="56"/>
          <w:szCs w:val="28"/>
        </w:rPr>
      </w:pPr>
      <w:bookmarkStart w:id="57" w:name="_Toc230249799"/>
      <w:r w:rsidRPr="00212C98">
        <w:rPr>
          <w:color w:val="002060"/>
          <w:sz w:val="56"/>
          <w:szCs w:val="28"/>
        </w:rPr>
        <w:lastRenderedPageBreak/>
        <w:t>Non pay expenditure</w:t>
      </w:r>
      <w:bookmarkEnd w:id="57"/>
    </w:p>
    <w:p w14:paraId="4D6A5E70" w14:textId="5192A24E" w:rsidR="001B7761" w:rsidRPr="00212C98" w:rsidRDefault="001B7761" w:rsidP="004C1E2A">
      <w:pPr>
        <w:pStyle w:val="Heading2Numbered"/>
        <w:ind w:left="0"/>
        <w:rPr>
          <w:color w:val="002060"/>
        </w:rPr>
      </w:pPr>
      <w:bookmarkStart w:id="58" w:name="_Toc230249800"/>
      <w:r w:rsidRPr="00212C98">
        <w:rPr>
          <w:color w:val="002060"/>
        </w:rPr>
        <w:t>Delegation of Authority</w:t>
      </w:r>
      <w:bookmarkEnd w:id="58"/>
    </w:p>
    <w:p w14:paraId="3A431078" w14:textId="2083D5FD" w:rsidR="001B7761" w:rsidRDefault="001B7761" w:rsidP="0070678C">
      <w:pPr>
        <w:pStyle w:val="Heading3Numbered"/>
      </w:pPr>
      <w:r w:rsidRPr="00AB679E">
        <w:t xml:space="preserve">The </w:t>
      </w:r>
      <w:r w:rsidR="0032611D">
        <w:t>Board</w:t>
      </w:r>
      <w:r w:rsidRPr="00F37C68">
        <w:t xml:space="preserve"> will approve the level of non-pay expenditure on an annual </w:t>
      </w:r>
      <w:r w:rsidR="00572AFD" w:rsidRPr="00F37C68">
        <w:t>basis,</w:t>
      </w:r>
      <w:r w:rsidRPr="00F37C68">
        <w:t xml:space="preserve"> and the Chief </w:t>
      </w:r>
      <w:r w:rsidR="00C3242A" w:rsidRPr="00F37C68">
        <w:t xml:space="preserve">Finance Officer </w:t>
      </w:r>
      <w:r w:rsidRPr="00F37C68">
        <w:t xml:space="preserve">will </w:t>
      </w:r>
      <w:r>
        <w:t>determine the level of delegation to budget managers.</w:t>
      </w:r>
    </w:p>
    <w:p w14:paraId="3BB995BC" w14:textId="541A1059" w:rsidR="001B7761" w:rsidRDefault="00876E3C" w:rsidP="0070678C">
      <w:pPr>
        <w:pStyle w:val="Heading3Numbered"/>
      </w:pPr>
      <w:r w:rsidRPr="00AB679E">
        <w:t xml:space="preserve">The </w:t>
      </w:r>
      <w:r w:rsidR="00C3242A">
        <w:t xml:space="preserve">Chief </w:t>
      </w:r>
      <w:r w:rsidR="00C3242A" w:rsidRPr="00F37C68">
        <w:rPr>
          <w:color w:val="auto"/>
        </w:rPr>
        <w:t xml:space="preserve">Finance Officer </w:t>
      </w:r>
      <w:r w:rsidR="001B7761">
        <w:t>will set out:</w:t>
      </w:r>
    </w:p>
    <w:p w14:paraId="59B23320" w14:textId="249526FB" w:rsidR="001B7761" w:rsidRPr="00F37C68" w:rsidRDefault="001B7761" w:rsidP="00C3242A">
      <w:pPr>
        <w:ind w:left="426"/>
        <w:rPr>
          <w:color w:val="auto"/>
        </w:rPr>
      </w:pPr>
      <w:r w:rsidRPr="00F37C68">
        <w:rPr>
          <w:color w:val="auto"/>
        </w:rPr>
        <w:t>(a)</w:t>
      </w:r>
      <w:r w:rsidR="00876E3C" w:rsidRPr="00F37C68">
        <w:rPr>
          <w:color w:val="auto"/>
        </w:rPr>
        <w:t xml:space="preserve"> </w:t>
      </w:r>
      <w:r w:rsidRPr="00F37C68">
        <w:rPr>
          <w:color w:val="auto"/>
        </w:rPr>
        <w:t xml:space="preserve">the </w:t>
      </w:r>
      <w:r w:rsidR="00C3242A" w:rsidRPr="00F37C68">
        <w:rPr>
          <w:color w:val="auto"/>
        </w:rPr>
        <w:t xml:space="preserve">authorised </w:t>
      </w:r>
      <w:r w:rsidRPr="00F37C68">
        <w:rPr>
          <w:color w:val="auto"/>
        </w:rPr>
        <w:t xml:space="preserve">managers who are authorised to place requisitions for the supply of goods and services; </w:t>
      </w:r>
    </w:p>
    <w:p w14:paraId="42EA42CD" w14:textId="77777777" w:rsidR="00876E3C" w:rsidRDefault="00876E3C" w:rsidP="00C3242A">
      <w:pPr>
        <w:ind w:left="426"/>
      </w:pPr>
    </w:p>
    <w:p w14:paraId="17B94CDD" w14:textId="3DB07CFE" w:rsidR="001B7761" w:rsidRDefault="001B7761" w:rsidP="00C3242A">
      <w:pPr>
        <w:ind w:left="426"/>
      </w:pPr>
      <w:r>
        <w:t>(b)</w:t>
      </w:r>
      <w:r w:rsidR="00876E3C">
        <w:t xml:space="preserve"> </w:t>
      </w:r>
      <w:r>
        <w:t>the maximum level of each requisition and the system for authorisation above that level.</w:t>
      </w:r>
    </w:p>
    <w:p w14:paraId="3AC677BA" w14:textId="208E16DB" w:rsidR="001B7761" w:rsidRDefault="00876E3C" w:rsidP="0070678C">
      <w:pPr>
        <w:pStyle w:val="Heading3Numbered"/>
      </w:pPr>
      <w:r w:rsidRPr="00AB679E">
        <w:t xml:space="preserve">The </w:t>
      </w:r>
      <w:r w:rsidR="00C3242A">
        <w:t xml:space="preserve">Chief </w:t>
      </w:r>
      <w:r w:rsidR="00C3242A" w:rsidRPr="00F37C68">
        <w:rPr>
          <w:color w:val="auto"/>
        </w:rPr>
        <w:t xml:space="preserve">Finance Officer </w:t>
      </w:r>
      <w:r w:rsidR="001B7761" w:rsidRPr="00F37C68">
        <w:rPr>
          <w:color w:val="auto"/>
        </w:rPr>
        <w:t xml:space="preserve">shall </w:t>
      </w:r>
      <w:r w:rsidR="001B7761">
        <w:t>set out procedures on the seeking of professional advice regarding the supply of goods and services in accordance with NHS England guidance.</w:t>
      </w:r>
    </w:p>
    <w:p w14:paraId="6AEBF24F" w14:textId="5AE1030B" w:rsidR="001B7761" w:rsidRDefault="001B7761" w:rsidP="001B7761"/>
    <w:p w14:paraId="053E9FE8" w14:textId="3FA45929" w:rsidR="00876E3C" w:rsidRDefault="00876E3C" w:rsidP="004C1E2A">
      <w:pPr>
        <w:pStyle w:val="Heading2Numbered"/>
        <w:ind w:left="0"/>
      </w:pPr>
      <w:r>
        <w:t xml:space="preserve"> </w:t>
      </w:r>
      <w:bookmarkStart w:id="59" w:name="_Toc230249801"/>
      <w:r>
        <w:t xml:space="preserve">Choice, </w:t>
      </w:r>
      <w:r w:rsidR="005243D3">
        <w:t>Requestioning</w:t>
      </w:r>
      <w:r>
        <w:t xml:space="preserve">, Ordering, Receipt and Payment for Goods </w:t>
      </w:r>
      <w:r w:rsidRPr="003B0A2C">
        <w:rPr>
          <w:i/>
          <w:iCs/>
          <w:sz w:val="28"/>
          <w:szCs w:val="28"/>
        </w:rPr>
        <w:t>(see overlay with SF</w:t>
      </w:r>
      <w:r w:rsidR="005243D3" w:rsidRPr="003B0A2C">
        <w:rPr>
          <w:i/>
          <w:iCs/>
          <w:sz w:val="28"/>
          <w:szCs w:val="28"/>
        </w:rPr>
        <w:t>I</w:t>
      </w:r>
      <w:r w:rsidR="004C1E2A" w:rsidRPr="003B0A2C">
        <w:rPr>
          <w:i/>
          <w:iCs/>
          <w:sz w:val="28"/>
          <w:szCs w:val="28"/>
        </w:rPr>
        <w:t xml:space="preserve"> </w:t>
      </w:r>
      <w:r w:rsidR="00C3242A" w:rsidRPr="003B0A2C">
        <w:rPr>
          <w:i/>
          <w:iCs/>
          <w:sz w:val="28"/>
          <w:szCs w:val="28"/>
        </w:rPr>
        <w:t>8 and 9</w:t>
      </w:r>
      <w:r w:rsidRPr="003B0A2C">
        <w:rPr>
          <w:i/>
          <w:iCs/>
          <w:sz w:val="28"/>
          <w:szCs w:val="28"/>
        </w:rPr>
        <w:t>)</w:t>
      </w:r>
      <w:bookmarkEnd w:id="59"/>
      <w:r>
        <w:t xml:space="preserve"> </w:t>
      </w:r>
    </w:p>
    <w:p w14:paraId="45F303CA" w14:textId="59EAD0DE" w:rsidR="001B7761" w:rsidRPr="00D16CEC" w:rsidRDefault="001B7761" w:rsidP="0070678C">
      <w:pPr>
        <w:pStyle w:val="Heading3Numbered"/>
      </w:pPr>
      <w:r w:rsidRPr="00D16CEC">
        <w:t>Requisitioning</w:t>
      </w:r>
    </w:p>
    <w:p w14:paraId="4A71D50A" w14:textId="78F38539" w:rsidR="00C3242A" w:rsidRPr="00F37C68" w:rsidRDefault="00C3242A" w:rsidP="006D460A">
      <w:pPr>
        <w:ind w:left="142"/>
        <w:rPr>
          <w:color w:val="auto"/>
        </w:rPr>
      </w:pPr>
      <w:r w:rsidRPr="00F37C68">
        <w:rPr>
          <w:color w:val="auto"/>
        </w:rPr>
        <w:t>Providing all the conditions and circumstances set out in these Standing Financial Instructions have been fully complied t</w:t>
      </w:r>
      <w:r w:rsidR="001B7761" w:rsidRPr="00F37C68">
        <w:rPr>
          <w:color w:val="auto"/>
        </w:rPr>
        <w:t>he requisitioner, in choosing the item to be supplied (or the service to be performed) shall always obtain the best value for money for the ICB</w:t>
      </w:r>
      <w:r w:rsidRPr="00F37C68">
        <w:rPr>
          <w:color w:val="auto"/>
        </w:rPr>
        <w:t xml:space="preserve"> (please refer to section 8 for thresholds, tendering, quotations, contracts and waivers and section 9 for tendering procedures)</w:t>
      </w:r>
      <w:r w:rsidR="00070104" w:rsidRPr="00F37C68">
        <w:rPr>
          <w:color w:val="auto"/>
        </w:rPr>
        <w:t>.</w:t>
      </w:r>
      <w:r w:rsidR="001B7761" w:rsidRPr="00F37C68">
        <w:rPr>
          <w:color w:val="auto"/>
        </w:rPr>
        <w:t xml:space="preserve"> </w:t>
      </w:r>
    </w:p>
    <w:p w14:paraId="5DB58A33" w14:textId="6159B9B9" w:rsidR="00C3242A" w:rsidRDefault="00C3242A" w:rsidP="0070678C">
      <w:pPr>
        <w:pStyle w:val="Heading3Numbered"/>
      </w:pPr>
      <w:r>
        <w:t xml:space="preserve"> In so doing, </w:t>
      </w:r>
      <w:r w:rsidR="00F05D8A">
        <w:t xml:space="preserve">the requisitioner will seek </w:t>
      </w:r>
      <w:r w:rsidR="001213CD">
        <w:t>expert from the lead in the ICB</w:t>
      </w:r>
      <w:r>
        <w:t xml:space="preserve">.  Where this advice is not acceptable to the requisitioner the </w:t>
      </w:r>
      <w:r w:rsidRPr="00070104">
        <w:rPr>
          <w:color w:val="auto"/>
        </w:rPr>
        <w:t xml:space="preserve">Chief Finance Officer </w:t>
      </w:r>
      <w:r w:rsidR="00070104">
        <w:rPr>
          <w:color w:val="auto"/>
        </w:rPr>
        <w:t>or</w:t>
      </w:r>
      <w:r w:rsidRPr="00070104">
        <w:rPr>
          <w:color w:val="auto"/>
        </w:rPr>
        <w:t xml:space="preserve"> the </w:t>
      </w:r>
      <w:r>
        <w:t xml:space="preserve">Chief Executive Officer shall be consulted, </w:t>
      </w:r>
      <w:r w:rsidRPr="00F37C68">
        <w:rPr>
          <w:color w:val="auto"/>
        </w:rPr>
        <w:t>in line with section 9.6.4</w:t>
      </w:r>
      <w:r w:rsidR="00F37C68">
        <w:rPr>
          <w:color w:val="auto"/>
        </w:rPr>
        <w:t>.</w:t>
      </w:r>
    </w:p>
    <w:p w14:paraId="1449311E" w14:textId="32B3EDB0" w:rsidR="001B7761" w:rsidRPr="009E2B83" w:rsidRDefault="001B7761" w:rsidP="0070678C">
      <w:pPr>
        <w:pStyle w:val="Heading3Numbered"/>
      </w:pPr>
      <w:r w:rsidRPr="009E2B83">
        <w:t>System of Payment and Payment Verification</w:t>
      </w:r>
    </w:p>
    <w:p w14:paraId="56EE145A" w14:textId="52B71962" w:rsidR="001B7761" w:rsidRDefault="001B7761" w:rsidP="006D460A">
      <w:pPr>
        <w:ind w:left="142"/>
      </w:pPr>
      <w:r>
        <w:t>The Chief Finance Officer shall be responsible for the prompt payment of accounts and claims.  Payment of contract invoices shall be in accordance with contract terms, or otherwise, in accordance with national guidance.</w:t>
      </w:r>
    </w:p>
    <w:p w14:paraId="138CA957" w14:textId="77777777" w:rsidR="00876E3C" w:rsidRDefault="00876E3C" w:rsidP="006D460A">
      <w:pPr>
        <w:ind w:left="142"/>
      </w:pPr>
    </w:p>
    <w:p w14:paraId="068FB357" w14:textId="4A75EFF8" w:rsidR="001B7761" w:rsidRDefault="001B7761" w:rsidP="006D460A">
      <w:pPr>
        <w:ind w:left="142"/>
      </w:pPr>
      <w:r>
        <w:t xml:space="preserve">The </w:t>
      </w:r>
      <w:r w:rsidR="009E2B83">
        <w:t>o</w:t>
      </w:r>
      <w:r>
        <w:t xml:space="preserve">perational Scheme of Reservation and Delegation </w:t>
      </w:r>
      <w:proofErr w:type="gramStart"/>
      <w:r>
        <w:t>sets</w:t>
      </w:r>
      <w:proofErr w:type="gramEnd"/>
      <w:r>
        <w:t xml:space="preserve"> out levels of delegated authority for payment authorisation in the following instances:</w:t>
      </w:r>
    </w:p>
    <w:p w14:paraId="3701652C" w14:textId="77777777" w:rsidR="00876E3C" w:rsidRDefault="00876E3C" w:rsidP="001B7761"/>
    <w:p w14:paraId="51DFC0A2" w14:textId="2EDD593C" w:rsidR="001B7761" w:rsidRDefault="001B7761" w:rsidP="0074740C">
      <w:pPr>
        <w:pStyle w:val="ListParagraph"/>
        <w:numPr>
          <w:ilvl w:val="0"/>
          <w:numId w:val="43"/>
        </w:numPr>
        <w:ind w:left="993"/>
      </w:pPr>
      <w:r>
        <w:t xml:space="preserve">Budget already approved by the </w:t>
      </w:r>
      <w:r w:rsidR="0032611D">
        <w:t>Board</w:t>
      </w:r>
      <w:r>
        <w:t xml:space="preserve"> e.g.  payments to NHS bodies arising from agreement of NHS Contracts.</w:t>
      </w:r>
    </w:p>
    <w:p w14:paraId="0FEDF141" w14:textId="47693236" w:rsidR="001B7761" w:rsidRDefault="001B7761" w:rsidP="0074740C">
      <w:pPr>
        <w:pStyle w:val="ListParagraph"/>
        <w:numPr>
          <w:ilvl w:val="0"/>
          <w:numId w:val="43"/>
        </w:numPr>
        <w:ind w:left="993"/>
      </w:pPr>
      <w:r>
        <w:lastRenderedPageBreak/>
        <w:t>Payments to NHS bodies where there is no contract in place.</w:t>
      </w:r>
    </w:p>
    <w:p w14:paraId="21D81786" w14:textId="01F99B44" w:rsidR="00876E3C" w:rsidRPr="00D16CEC" w:rsidRDefault="00876E3C" w:rsidP="0070678C">
      <w:pPr>
        <w:pStyle w:val="Heading3Numbered"/>
      </w:pPr>
      <w:r w:rsidRPr="00D16CEC">
        <w:t>The Chief Finance Officer will</w:t>
      </w:r>
      <w:r w:rsidR="004674E6">
        <w:t>:</w:t>
      </w:r>
      <w:r w:rsidRPr="00D16CEC">
        <w:t xml:space="preserve"> </w:t>
      </w:r>
    </w:p>
    <w:p w14:paraId="542123DE" w14:textId="328586BF" w:rsidR="001B7761" w:rsidRDefault="001B7761" w:rsidP="0074740C">
      <w:pPr>
        <w:pStyle w:val="ListParagraph"/>
        <w:numPr>
          <w:ilvl w:val="0"/>
          <w:numId w:val="42"/>
        </w:numPr>
        <w:spacing w:before="120" w:after="240"/>
        <w:ind w:left="992" w:hanging="357"/>
        <w:contextualSpacing w:val="0"/>
      </w:pPr>
      <w:r>
        <w:t>prepare procedural instructions or guidance within the Scheme of Delegation on the obtaining of goods, works and services incorporating the thresholds;</w:t>
      </w:r>
    </w:p>
    <w:p w14:paraId="1669E2C1" w14:textId="0FD5E030" w:rsidR="001B7761" w:rsidRDefault="001B7761" w:rsidP="0074740C">
      <w:pPr>
        <w:pStyle w:val="ListParagraph"/>
        <w:numPr>
          <w:ilvl w:val="0"/>
          <w:numId w:val="42"/>
        </w:numPr>
        <w:spacing w:before="120" w:after="240"/>
        <w:ind w:left="992" w:hanging="357"/>
        <w:contextualSpacing w:val="0"/>
      </w:pPr>
      <w:r>
        <w:t>be responsible for the prompt payment of all properly authorised accounts and claims;</w:t>
      </w:r>
    </w:p>
    <w:p w14:paraId="772CB730" w14:textId="7853444A" w:rsidR="004C1E2A" w:rsidRDefault="001B7761" w:rsidP="0074740C">
      <w:pPr>
        <w:pStyle w:val="ListParagraph"/>
        <w:numPr>
          <w:ilvl w:val="0"/>
          <w:numId w:val="42"/>
        </w:numPr>
        <w:spacing w:before="120" w:after="240"/>
        <w:ind w:left="992" w:hanging="357"/>
        <w:contextualSpacing w:val="0"/>
      </w:pPr>
      <w:r>
        <w:t xml:space="preserve">be responsible for designing and maintaining a system of verification, recording and payment of all amounts </w:t>
      </w:r>
      <w:r w:rsidR="00EF139A">
        <w:t>payable;</w:t>
      </w:r>
    </w:p>
    <w:p w14:paraId="091CD06C" w14:textId="3C94A1DA" w:rsidR="001B7761" w:rsidRDefault="001B7761" w:rsidP="0074740C">
      <w:pPr>
        <w:pStyle w:val="ListParagraph"/>
        <w:numPr>
          <w:ilvl w:val="0"/>
          <w:numId w:val="42"/>
        </w:numPr>
        <w:spacing w:before="120" w:after="240"/>
        <w:ind w:left="992" w:hanging="357"/>
        <w:contextualSpacing w:val="0"/>
      </w:pPr>
      <w:r>
        <w:t xml:space="preserve">be responsible for ensuring that payment for goods and services is only made once the goods and services are received. </w:t>
      </w:r>
      <w:r w:rsidRPr="000C22EE">
        <w:t xml:space="preserve">The only exceptions are set out in </w:t>
      </w:r>
      <w:r w:rsidR="00F1154B">
        <w:t>11.2.5</w:t>
      </w:r>
      <w:r w:rsidR="000C22EE">
        <w:t xml:space="preserve"> </w:t>
      </w:r>
      <w:r w:rsidRPr="000C22EE">
        <w:t>below.</w:t>
      </w:r>
    </w:p>
    <w:p w14:paraId="2241A647" w14:textId="77777777" w:rsidR="00E63BC9" w:rsidRPr="00D16CEC" w:rsidRDefault="00E63BC9" w:rsidP="0070678C">
      <w:pPr>
        <w:pStyle w:val="Heading3Numbered"/>
      </w:pPr>
      <w:r w:rsidRPr="00D16CEC">
        <w:t>Duties of Managers and Officers</w:t>
      </w:r>
    </w:p>
    <w:p w14:paraId="2D9D8B33" w14:textId="4710CDBA" w:rsidR="009E2B83" w:rsidRPr="009E2B83" w:rsidRDefault="009E2B83" w:rsidP="006D460A">
      <w:pPr>
        <w:ind w:left="142"/>
        <w:rPr>
          <w:color w:val="auto"/>
        </w:rPr>
      </w:pPr>
      <w:r>
        <w:t>M</w:t>
      </w:r>
      <w:r w:rsidR="00E63BC9">
        <w:t xml:space="preserve">anagers and officers must ensure that they </w:t>
      </w:r>
      <w:r w:rsidR="00E63BC9" w:rsidRPr="00F37C68">
        <w:rPr>
          <w:color w:val="auto"/>
        </w:rPr>
        <w:t xml:space="preserve">comply </w:t>
      </w:r>
      <w:r w:rsidRPr="00F37C68">
        <w:rPr>
          <w:color w:val="auto"/>
        </w:rPr>
        <w:t xml:space="preserve">with all the conditions and circumstances set out in these Standing Financial Instructions (specifically the delegations and processes set out in sections 8 and 9) no </w:t>
      </w:r>
      <w:r w:rsidRPr="009E2B83">
        <w:rPr>
          <w:color w:val="auto"/>
        </w:rPr>
        <w:t>requisition/order is placed for any item or items for which there is no budget provision unless authorised by the Chief Finance Officer on behalf of the Chief Executive Officer;</w:t>
      </w:r>
    </w:p>
    <w:p w14:paraId="3155C9DE" w14:textId="693959C4" w:rsidR="009E2B83" w:rsidRPr="009E2B83" w:rsidRDefault="009E2B83" w:rsidP="0074740C">
      <w:pPr>
        <w:pStyle w:val="ListParagraph"/>
        <w:numPr>
          <w:ilvl w:val="0"/>
          <w:numId w:val="71"/>
        </w:numPr>
        <w:spacing w:before="120" w:after="240"/>
        <w:ind w:left="993"/>
        <w:contextualSpacing w:val="0"/>
        <w:rPr>
          <w:color w:val="auto"/>
        </w:rPr>
      </w:pPr>
      <w:r w:rsidRPr="009E2B83">
        <w:rPr>
          <w:color w:val="auto"/>
        </w:rPr>
        <w:t>all goods, services, or works are ordered via the Oracle I-Procurement Purchase to Pay system or on an official order except works and services executed in accordance with a contract and purchases from petty cash or cash equivalent</w:t>
      </w:r>
      <w:r w:rsidR="00EF139A">
        <w:rPr>
          <w:color w:val="auto"/>
        </w:rPr>
        <w:t>;</w:t>
      </w:r>
    </w:p>
    <w:p w14:paraId="526F7F1B" w14:textId="2EA9C57F" w:rsidR="009E2B83" w:rsidRDefault="009E2B83" w:rsidP="0074740C">
      <w:pPr>
        <w:pStyle w:val="ListParagraph"/>
        <w:numPr>
          <w:ilvl w:val="0"/>
          <w:numId w:val="71"/>
        </w:numPr>
        <w:spacing w:before="120" w:after="240"/>
        <w:ind w:left="993"/>
        <w:contextualSpacing w:val="0"/>
      </w:pPr>
      <w:r>
        <w:t xml:space="preserve">verbal orders must only be issued </w:t>
      </w:r>
      <w:r w:rsidRPr="00F37C68">
        <w:rPr>
          <w:color w:val="auto"/>
        </w:rPr>
        <w:t>by</w:t>
      </w:r>
      <w:r>
        <w:t xml:space="preserve"> exception</w:t>
      </w:r>
      <w:r w:rsidRPr="0066362B">
        <w:rPr>
          <w:color w:val="auto"/>
        </w:rPr>
        <w:t xml:space="preserve"> </w:t>
      </w:r>
      <w:r>
        <w:t>- by an employee designated by the Chief Executive Officer and only in cases of emergency or urgent necessity.  These must be confirmed by an official order and clearly marked "Confirmation Order"</w:t>
      </w:r>
      <w:r w:rsidR="00EF139A">
        <w:t>;</w:t>
      </w:r>
    </w:p>
    <w:p w14:paraId="1A6C2340" w14:textId="77777777" w:rsidR="009E2B83" w:rsidRDefault="009E2B83" w:rsidP="0074740C">
      <w:pPr>
        <w:pStyle w:val="ListParagraph"/>
        <w:numPr>
          <w:ilvl w:val="0"/>
          <w:numId w:val="71"/>
        </w:numPr>
        <w:spacing w:before="120" w:after="240"/>
        <w:ind w:left="993" w:hanging="357"/>
        <w:contextualSpacing w:val="0"/>
      </w:pPr>
      <w:r>
        <w:t xml:space="preserve">orders are not split or otherwise placed in a manner devised </w:t>
      </w:r>
      <w:proofErr w:type="gramStart"/>
      <w:r>
        <w:t>so as to</w:t>
      </w:r>
      <w:proofErr w:type="gramEnd"/>
      <w:r>
        <w:t xml:space="preserve"> avoid the financial thresholds;</w:t>
      </w:r>
    </w:p>
    <w:p w14:paraId="41910C11" w14:textId="77777777" w:rsidR="009E2B83" w:rsidRDefault="009E2B83" w:rsidP="0074740C">
      <w:pPr>
        <w:pStyle w:val="ListParagraph"/>
        <w:numPr>
          <w:ilvl w:val="0"/>
          <w:numId w:val="27"/>
        </w:numPr>
        <w:spacing w:before="120" w:after="120"/>
        <w:ind w:left="1418" w:hanging="357"/>
        <w:contextualSpacing w:val="0"/>
      </w:pPr>
      <w:r>
        <w:t>goods are not taken on trial or loan in circumstances that could commit the ICB to a future uncompetitive purchase;</w:t>
      </w:r>
    </w:p>
    <w:p w14:paraId="7488BC64" w14:textId="333F0181" w:rsidR="009E2B83" w:rsidRDefault="009E2B83" w:rsidP="0074740C">
      <w:pPr>
        <w:pStyle w:val="ListParagraph"/>
        <w:numPr>
          <w:ilvl w:val="0"/>
          <w:numId w:val="27"/>
        </w:numPr>
        <w:spacing w:before="120" w:after="120"/>
        <w:ind w:left="1418" w:hanging="357"/>
        <w:contextualSpacing w:val="0"/>
      </w:pPr>
      <w:r>
        <w:t>changes to the list of members/employees and officers authorised to certify invoices are notified to the Chief Finance Officer;</w:t>
      </w:r>
    </w:p>
    <w:p w14:paraId="1F6EBCB4" w14:textId="6F8F7796" w:rsidR="00E63BC9" w:rsidRDefault="00E63BC9" w:rsidP="0074740C">
      <w:pPr>
        <w:pStyle w:val="ListParagraph"/>
        <w:numPr>
          <w:ilvl w:val="0"/>
          <w:numId w:val="71"/>
        </w:numPr>
        <w:spacing w:before="120" w:after="240"/>
        <w:ind w:left="993"/>
        <w:contextualSpacing w:val="0"/>
      </w:pPr>
      <w:r>
        <w:t xml:space="preserve">where </w:t>
      </w:r>
      <w:r w:rsidRPr="00F37C68">
        <w:rPr>
          <w:color w:val="auto"/>
        </w:rPr>
        <w:t xml:space="preserve">consultancy advice is being obtained, the procurement of such advice must be in accordance with guidance issued by </w:t>
      </w:r>
      <w:r w:rsidR="0066362B" w:rsidRPr="00F37C68">
        <w:rPr>
          <w:color w:val="auto"/>
        </w:rPr>
        <w:t>NHS</w:t>
      </w:r>
      <w:r w:rsidR="00FB7FCF">
        <w:rPr>
          <w:color w:val="auto"/>
        </w:rPr>
        <w:t xml:space="preserve"> </w:t>
      </w:r>
      <w:r w:rsidR="0066362B" w:rsidRPr="00F37C68">
        <w:rPr>
          <w:color w:val="auto"/>
        </w:rPr>
        <w:t>E</w:t>
      </w:r>
      <w:r w:rsidR="00FB7FCF">
        <w:rPr>
          <w:color w:val="auto"/>
        </w:rPr>
        <w:t>ngland</w:t>
      </w:r>
      <w:r w:rsidR="0066362B" w:rsidRPr="00F37C68">
        <w:rPr>
          <w:color w:val="auto"/>
        </w:rPr>
        <w:t xml:space="preserve"> SW Region and </w:t>
      </w:r>
      <w:r w:rsidRPr="00F37C68">
        <w:rPr>
          <w:color w:val="auto"/>
        </w:rPr>
        <w:t>the Department of Health</w:t>
      </w:r>
      <w:r w:rsidR="00A10769" w:rsidRPr="00F37C68">
        <w:rPr>
          <w:color w:val="auto"/>
        </w:rPr>
        <w:t xml:space="preserve"> and Social Care</w:t>
      </w:r>
      <w:r w:rsidRPr="00F37C68">
        <w:rPr>
          <w:color w:val="auto"/>
        </w:rPr>
        <w:t>;</w:t>
      </w:r>
    </w:p>
    <w:p w14:paraId="12020A1D" w14:textId="021C1B4A" w:rsidR="00E63BC9" w:rsidRDefault="00E63BC9" w:rsidP="0074740C">
      <w:pPr>
        <w:pStyle w:val="ListParagraph"/>
        <w:numPr>
          <w:ilvl w:val="0"/>
          <w:numId w:val="71"/>
        </w:numPr>
        <w:spacing w:before="120" w:after="240"/>
        <w:contextualSpacing w:val="0"/>
      </w:pPr>
      <w:r>
        <w:t>no order shall be issued for any item or items to any firm which has made an offer of gifts, reward or benefit to the Chief Executive Officer or employees, other than:</w:t>
      </w:r>
    </w:p>
    <w:p w14:paraId="734AAAB6" w14:textId="77777777" w:rsidR="00E63BC9" w:rsidRDefault="00E63BC9" w:rsidP="0074740C">
      <w:pPr>
        <w:pStyle w:val="ListParagraph"/>
        <w:numPr>
          <w:ilvl w:val="0"/>
          <w:numId w:val="26"/>
        </w:numPr>
        <w:spacing w:before="120" w:after="120"/>
        <w:ind w:left="1418"/>
        <w:contextualSpacing w:val="0"/>
      </w:pPr>
      <w:r>
        <w:lastRenderedPageBreak/>
        <w:t>isolated gifts of a trivial character or inexpensive seasonal gifts, such as calendars;</w:t>
      </w:r>
    </w:p>
    <w:p w14:paraId="12840075" w14:textId="33FB3313" w:rsidR="00E63BC9" w:rsidRDefault="00E63BC9" w:rsidP="0074740C">
      <w:pPr>
        <w:pStyle w:val="ListParagraph"/>
        <w:numPr>
          <w:ilvl w:val="0"/>
          <w:numId w:val="26"/>
        </w:numPr>
        <w:spacing w:before="120" w:after="120"/>
        <w:ind w:left="1418"/>
        <w:contextualSpacing w:val="0"/>
      </w:pPr>
      <w:r>
        <w:t xml:space="preserve">conventional hospitality, such as lunches </w:t>
      </w:r>
      <w:proofErr w:type="gramStart"/>
      <w:r>
        <w:t>in the course of</w:t>
      </w:r>
      <w:proofErr w:type="gramEnd"/>
      <w:r>
        <w:t xml:space="preserve"> working visits</w:t>
      </w:r>
      <w:r w:rsidR="00EF139A">
        <w:t>.</w:t>
      </w:r>
    </w:p>
    <w:p w14:paraId="6DF5F07A" w14:textId="77777777" w:rsidR="00E63BC9" w:rsidRDefault="00E63BC9" w:rsidP="00F37C68">
      <w:pPr>
        <w:ind w:left="709"/>
      </w:pPr>
      <w:r>
        <w:t xml:space="preserve">This </w:t>
      </w:r>
      <w:r w:rsidRPr="000C22EE">
        <w:rPr>
          <w:color w:val="auto"/>
        </w:rPr>
        <w:t xml:space="preserve">provision needs to be read in conjunction with </w:t>
      </w:r>
      <w:r w:rsidRPr="002B4834">
        <w:rPr>
          <w:color w:val="auto"/>
        </w:rPr>
        <w:t>Section 6</w:t>
      </w:r>
      <w:r w:rsidRPr="000C22EE">
        <w:rPr>
          <w:color w:val="auto"/>
        </w:rPr>
        <w:t xml:space="preserve"> of the ICB Constitution </w:t>
      </w:r>
      <w:r>
        <w:t xml:space="preserve">and the principles outlined in the national guidance contained in HSG 93(5) “Standards of Business Conduct for NHS Staff”; the Code of Conduct for NHS Managers 2002; and the ABPI Code of Professional Conduct relating to hospitality/gifts from pharmaceutical/external industry; the Bribery Act 2010 and the </w:t>
      </w:r>
      <w:r w:rsidRPr="00F47F3D">
        <w:rPr>
          <w:color w:val="auto"/>
        </w:rPr>
        <w:t>relevant ICB policies.</w:t>
      </w:r>
    </w:p>
    <w:p w14:paraId="34CBD2F6" w14:textId="5EBD3074" w:rsidR="00F1154B" w:rsidRDefault="00E63BC9" w:rsidP="0074740C">
      <w:pPr>
        <w:pStyle w:val="ListParagraph"/>
        <w:numPr>
          <w:ilvl w:val="0"/>
          <w:numId w:val="71"/>
        </w:numPr>
        <w:spacing w:before="120" w:after="240"/>
        <w:contextualSpacing w:val="0"/>
      </w:pPr>
      <w:r>
        <w:t xml:space="preserve">purchases from petty cash are restricted in value and by type of purchase in accordance with instructions issued by the Chief Finance Officer; </w:t>
      </w:r>
    </w:p>
    <w:p w14:paraId="2D7DCC26" w14:textId="741D314E" w:rsidR="00E63BC9" w:rsidRDefault="00E63BC9" w:rsidP="0074740C">
      <w:pPr>
        <w:pStyle w:val="ListParagraph"/>
        <w:numPr>
          <w:ilvl w:val="0"/>
          <w:numId w:val="71"/>
        </w:numPr>
        <w:spacing w:before="120" w:after="240"/>
        <w:contextualSpacing w:val="0"/>
      </w:pPr>
      <w:r>
        <w:t>petty cash records are maintained in a form as determined by the Chief Finance Officer.</w:t>
      </w:r>
    </w:p>
    <w:p w14:paraId="5F110384" w14:textId="4A952AA8" w:rsidR="00905D05" w:rsidRPr="00D16CEC" w:rsidRDefault="00905D05" w:rsidP="0070678C">
      <w:pPr>
        <w:pStyle w:val="Heading3Numbered"/>
      </w:pPr>
      <w:r w:rsidRPr="00D16CEC">
        <w:t xml:space="preserve">Prepayments </w:t>
      </w:r>
    </w:p>
    <w:p w14:paraId="6A4F4518" w14:textId="3202C8AA" w:rsidR="001B7761" w:rsidRDefault="001B7761" w:rsidP="00F37C68">
      <w:pPr>
        <w:ind w:left="142"/>
      </w:pPr>
      <w:r>
        <w:t>Prepayments are only permitted where exceptional circumstances apply.  In such instances:</w:t>
      </w:r>
    </w:p>
    <w:p w14:paraId="7E1AAB91" w14:textId="559F9BF0" w:rsidR="001B7761" w:rsidRDefault="001B7761" w:rsidP="0074740C">
      <w:pPr>
        <w:pStyle w:val="ListParagraph"/>
        <w:numPr>
          <w:ilvl w:val="0"/>
          <w:numId w:val="44"/>
        </w:numPr>
        <w:spacing w:before="120" w:after="240"/>
        <w:ind w:left="709" w:hanging="357"/>
        <w:contextualSpacing w:val="0"/>
      </w:pPr>
      <w:r>
        <w:t>the financial advantages outweigh the disadvantages.</w:t>
      </w:r>
      <w:r w:rsidR="0021738A">
        <w:t xml:space="preserve"> </w:t>
      </w:r>
      <w:r>
        <w:t xml:space="preserve"> Prepayments will constitute payments made in advance for periods greater than one </w:t>
      </w:r>
      <w:proofErr w:type="gramStart"/>
      <w:r>
        <w:t>mont</w:t>
      </w:r>
      <w:r w:rsidR="00EF139A">
        <w:t>h;</w:t>
      </w:r>
      <w:r>
        <w:t>.</w:t>
      </w:r>
      <w:proofErr w:type="gramEnd"/>
    </w:p>
    <w:p w14:paraId="6034D18F" w14:textId="7416CC9E" w:rsidR="001B7761" w:rsidRDefault="001B7761" w:rsidP="0074740C">
      <w:pPr>
        <w:pStyle w:val="ListParagraph"/>
        <w:numPr>
          <w:ilvl w:val="0"/>
          <w:numId w:val="44"/>
        </w:numPr>
        <w:spacing w:before="120" w:after="240"/>
        <w:ind w:left="709" w:hanging="357"/>
        <w:contextualSpacing w:val="0"/>
      </w:pPr>
      <w:r>
        <w:t xml:space="preserve">the appropriate officer member of the ICB must provide, in the form of a written report, a case setting out all relevant circumstances of the purchase.  The report must set out the effects on the ICB if the supplier is at some time </w:t>
      </w:r>
      <w:proofErr w:type="gramStart"/>
      <w:r>
        <w:t>during the course of</w:t>
      </w:r>
      <w:proofErr w:type="gramEnd"/>
      <w:r>
        <w:t xml:space="preserve"> the prepayment agreement unable to meet its commitments;</w:t>
      </w:r>
    </w:p>
    <w:p w14:paraId="65584CC3" w14:textId="38EA2D18" w:rsidR="001B7761" w:rsidRDefault="001B7761" w:rsidP="0074740C">
      <w:pPr>
        <w:pStyle w:val="ListParagraph"/>
        <w:numPr>
          <w:ilvl w:val="0"/>
          <w:numId w:val="44"/>
        </w:numPr>
        <w:spacing w:before="120" w:after="240"/>
        <w:ind w:left="709" w:hanging="357"/>
        <w:contextualSpacing w:val="0"/>
      </w:pPr>
      <w:r>
        <w:t>the Chief Finance Officer will need to be satisfied with the proposed arrangements before contractual arrangements proceed (</w:t>
      </w:r>
      <w:proofErr w:type="gramStart"/>
      <w:r>
        <w:t>taking into account</w:t>
      </w:r>
      <w:proofErr w:type="gramEnd"/>
      <w:r>
        <w:t xml:space="preserve"> the EU public procurement rules, so long as they continue to apply as a matter of law, where the contract is above a stipulated financial threshold); </w:t>
      </w:r>
    </w:p>
    <w:p w14:paraId="0785D1AD" w14:textId="6B5BC427" w:rsidR="001B7761" w:rsidRDefault="001B7761" w:rsidP="0074740C">
      <w:pPr>
        <w:pStyle w:val="ListParagraph"/>
        <w:numPr>
          <w:ilvl w:val="0"/>
          <w:numId w:val="44"/>
        </w:numPr>
        <w:spacing w:before="120" w:after="240"/>
        <w:ind w:left="709" w:hanging="357"/>
        <w:contextualSpacing w:val="0"/>
      </w:pPr>
      <w:r>
        <w:t xml:space="preserve">the budget holder is responsible for ensuring that all items due under a prepayment contract are received and they must immediately inform the </w:t>
      </w:r>
      <w:r w:rsidRPr="00F37C68">
        <w:rPr>
          <w:color w:val="auto"/>
        </w:rPr>
        <w:t xml:space="preserve">appropriate </w:t>
      </w:r>
      <w:r w:rsidR="00916428" w:rsidRPr="00F37C68">
        <w:rPr>
          <w:color w:val="auto"/>
        </w:rPr>
        <w:t xml:space="preserve">Chief Officer </w:t>
      </w:r>
      <w:r>
        <w:t>or Chief Executive Officer if problems are encountered.</w:t>
      </w:r>
    </w:p>
    <w:p w14:paraId="10B6A566" w14:textId="4F7FF23A" w:rsidR="00C94775" w:rsidRDefault="009E721B" w:rsidP="00C94775">
      <w:pPr>
        <w:spacing w:before="120" w:after="240"/>
      </w:pPr>
      <w:r>
        <w:t>The finance team will assess all prepayments and take a judgement on monthly adjustments based on a de minimis value of £100k.</w:t>
      </w:r>
    </w:p>
    <w:p w14:paraId="7295DADF" w14:textId="30CE40A5" w:rsidR="00905D05" w:rsidRPr="00D16CEC" w:rsidRDefault="00905D05" w:rsidP="0070678C">
      <w:pPr>
        <w:pStyle w:val="Heading3Numbered"/>
      </w:pPr>
      <w:r w:rsidRPr="00D16CEC">
        <w:t>Official Orders</w:t>
      </w:r>
    </w:p>
    <w:p w14:paraId="11E1E3B2" w14:textId="47B40D3E" w:rsidR="001B7761" w:rsidRDefault="001B7761" w:rsidP="00F1154B">
      <w:pPr>
        <w:tabs>
          <w:tab w:val="left" w:pos="709"/>
        </w:tabs>
        <w:spacing w:before="120" w:after="240"/>
      </w:pPr>
      <w:r>
        <w:t>Official orders must be made via the Oracle I-Procurement Purchase to Pay system.  Where paper-based ordering systems are retained, they must:</w:t>
      </w:r>
    </w:p>
    <w:p w14:paraId="21E8CE13" w14:textId="5351D6D5" w:rsidR="001B7761" w:rsidRDefault="001B7761" w:rsidP="0074740C">
      <w:pPr>
        <w:pStyle w:val="ListParagraph"/>
        <w:numPr>
          <w:ilvl w:val="0"/>
          <w:numId w:val="28"/>
        </w:numPr>
        <w:spacing w:before="120" w:after="120"/>
        <w:ind w:left="709" w:hanging="357"/>
        <w:contextualSpacing w:val="0"/>
      </w:pPr>
      <w:r>
        <w:t>be consecutively numbered;</w:t>
      </w:r>
    </w:p>
    <w:p w14:paraId="7B368165" w14:textId="33946CB1" w:rsidR="001B7761" w:rsidRDefault="001B7761" w:rsidP="0074740C">
      <w:pPr>
        <w:pStyle w:val="ListParagraph"/>
        <w:numPr>
          <w:ilvl w:val="0"/>
          <w:numId w:val="28"/>
        </w:numPr>
        <w:spacing w:before="120" w:after="120"/>
        <w:ind w:left="709" w:hanging="357"/>
        <w:contextualSpacing w:val="0"/>
      </w:pPr>
      <w:r>
        <w:t>be in a form approved by the Chief Finance Officer;</w:t>
      </w:r>
    </w:p>
    <w:p w14:paraId="750EFF5E" w14:textId="75791653" w:rsidR="001B7761" w:rsidRDefault="001B7761" w:rsidP="0074740C">
      <w:pPr>
        <w:pStyle w:val="ListParagraph"/>
        <w:numPr>
          <w:ilvl w:val="0"/>
          <w:numId w:val="28"/>
        </w:numPr>
        <w:spacing w:before="120" w:after="120"/>
        <w:ind w:left="709" w:hanging="357"/>
        <w:contextualSpacing w:val="0"/>
      </w:pPr>
      <w:r>
        <w:t>state the ICB's terms and conditions of trade;</w:t>
      </w:r>
    </w:p>
    <w:p w14:paraId="5B67A6C4" w14:textId="78894D03" w:rsidR="001B7761" w:rsidRDefault="001B7761" w:rsidP="0074740C">
      <w:pPr>
        <w:pStyle w:val="ListParagraph"/>
        <w:numPr>
          <w:ilvl w:val="0"/>
          <w:numId w:val="28"/>
        </w:numPr>
        <w:spacing w:before="120" w:after="120"/>
        <w:ind w:left="709" w:hanging="357"/>
        <w:contextualSpacing w:val="0"/>
      </w:pPr>
      <w:r>
        <w:lastRenderedPageBreak/>
        <w:t>only be issued to, and used by, those duly authorised by the</w:t>
      </w:r>
      <w:r w:rsidRPr="00F37C68">
        <w:rPr>
          <w:color w:val="auto"/>
        </w:rPr>
        <w:t xml:space="preserve"> Chief </w:t>
      </w:r>
      <w:r w:rsidR="0021738A" w:rsidRPr="00F37C68">
        <w:rPr>
          <w:color w:val="auto"/>
        </w:rPr>
        <w:t xml:space="preserve">Finance </w:t>
      </w:r>
      <w:r>
        <w:t>Officer.</w:t>
      </w:r>
    </w:p>
    <w:p w14:paraId="2CDE91D3" w14:textId="448858C4" w:rsidR="00BF0F87" w:rsidRPr="00353739" w:rsidRDefault="00BF0F87" w:rsidP="004C1E2A">
      <w:pPr>
        <w:pStyle w:val="Heading2Numbered"/>
        <w:spacing w:before="360"/>
        <w:ind w:left="0"/>
        <w:rPr>
          <w:color w:val="002060"/>
        </w:rPr>
      </w:pPr>
      <w:bookmarkStart w:id="60" w:name="_Toc230249802"/>
      <w:r w:rsidRPr="00353739">
        <w:rPr>
          <w:color w:val="002060"/>
        </w:rPr>
        <w:t>Joint Finance Arrangements with Local Authorities and Voluntary Bodies</w:t>
      </w:r>
      <w:bookmarkEnd w:id="60"/>
    </w:p>
    <w:p w14:paraId="0CA7761F" w14:textId="7D156810" w:rsidR="0021738A" w:rsidRDefault="001B7761" w:rsidP="0070678C">
      <w:pPr>
        <w:pStyle w:val="Heading3Numbered"/>
      </w:pPr>
      <w:r>
        <w:t xml:space="preserve">Payments to local authorities and voluntary organisations made under the powers of section 75 or </w:t>
      </w:r>
      <w:r w:rsidRPr="00EF139A">
        <w:t>256</w:t>
      </w:r>
      <w:r w:rsidR="00F37C68" w:rsidRPr="00EF139A">
        <w:rPr>
          <w:color w:val="auto"/>
        </w:rPr>
        <w:t xml:space="preserve"> </w:t>
      </w:r>
      <w:r w:rsidRPr="00EF139A">
        <w:t>of the NHS</w:t>
      </w:r>
      <w:r>
        <w:t xml:space="preserve"> Act 2006</w:t>
      </w:r>
      <w:r w:rsidR="0021738A">
        <w:t>,</w:t>
      </w:r>
      <w:r>
        <w:t xml:space="preserve"> as amended</w:t>
      </w:r>
      <w:r w:rsidR="0021738A">
        <w:t>,</w:t>
      </w:r>
      <w:r>
        <w:t xml:space="preserve"> shall comply with procedures laid down by the Chief Finance Officer which shall be in accordance with that Act</w:t>
      </w:r>
      <w:r w:rsidR="0021738A">
        <w:t xml:space="preserve">.  </w:t>
      </w:r>
    </w:p>
    <w:p w14:paraId="6BEA6E2E" w14:textId="72E8835A" w:rsidR="001B7761" w:rsidRDefault="0021738A" w:rsidP="0070678C">
      <w:pPr>
        <w:pStyle w:val="Heading3Numbered"/>
      </w:pPr>
      <w:r w:rsidRPr="00F37C68">
        <w:t>Section 75 and 256 agreements are authorised by the Chief Finance Officer</w:t>
      </w:r>
      <w:r w:rsidR="001B7761">
        <w:t>.</w:t>
      </w:r>
      <w:r w:rsidR="001B7761">
        <w:br w:type="page"/>
      </w:r>
    </w:p>
    <w:p w14:paraId="0BDB9B08" w14:textId="08261662" w:rsidR="003B0A2C" w:rsidRPr="00353739" w:rsidRDefault="003B0A2C" w:rsidP="003B0A2C">
      <w:pPr>
        <w:pStyle w:val="Heading1Numbered"/>
        <w:ind w:left="0"/>
        <w:rPr>
          <w:color w:val="002060"/>
          <w:sz w:val="56"/>
          <w:szCs w:val="28"/>
        </w:rPr>
      </w:pPr>
      <w:bookmarkStart w:id="61" w:name="_Toc230249803"/>
      <w:r w:rsidRPr="00353739">
        <w:rPr>
          <w:color w:val="002060"/>
          <w:sz w:val="56"/>
          <w:szCs w:val="28"/>
        </w:rPr>
        <w:lastRenderedPageBreak/>
        <w:t>Research and development</w:t>
      </w:r>
      <w:bookmarkEnd w:id="61"/>
    </w:p>
    <w:p w14:paraId="2FAC5976" w14:textId="277C4018" w:rsidR="003B0A2C" w:rsidRPr="00353739" w:rsidRDefault="003B0A2C" w:rsidP="003B0A2C">
      <w:pPr>
        <w:pStyle w:val="Heading2Numbered"/>
        <w:spacing w:before="360"/>
        <w:ind w:left="0"/>
        <w:rPr>
          <w:color w:val="002060"/>
        </w:rPr>
      </w:pPr>
      <w:bookmarkStart w:id="62" w:name="_Toc230249804"/>
      <w:r w:rsidRPr="00353739">
        <w:rPr>
          <w:color w:val="002060"/>
        </w:rPr>
        <w:t>Objective</w:t>
      </w:r>
      <w:bookmarkEnd w:id="62"/>
    </w:p>
    <w:p w14:paraId="01F0DC96" w14:textId="55BA6295" w:rsidR="003B0A2C" w:rsidRDefault="003B0A2C" w:rsidP="0070678C">
      <w:pPr>
        <w:pStyle w:val="Heading3Numbered"/>
      </w:pPr>
      <w:r w:rsidRPr="00D36878">
        <w:t>To provide specific instruction to research and development and reference to general financial instructions and processes governing this area</w:t>
      </w:r>
      <w:r>
        <w:t>.</w:t>
      </w:r>
    </w:p>
    <w:p w14:paraId="34BAAF5E" w14:textId="6E915B05" w:rsidR="003B0A2C" w:rsidRPr="00353739" w:rsidRDefault="003B0A2C" w:rsidP="003B0A2C">
      <w:pPr>
        <w:pStyle w:val="Heading2Numbered"/>
        <w:spacing w:before="360"/>
        <w:ind w:left="0"/>
        <w:rPr>
          <w:color w:val="002060"/>
        </w:rPr>
      </w:pPr>
      <w:bookmarkStart w:id="63" w:name="_Toc230249805"/>
      <w:r w:rsidRPr="00353739">
        <w:rPr>
          <w:color w:val="002060"/>
        </w:rPr>
        <w:t>General</w:t>
      </w:r>
      <w:bookmarkEnd w:id="63"/>
    </w:p>
    <w:p w14:paraId="771C853C" w14:textId="1982653D" w:rsidR="003B0A2C" w:rsidRPr="00D36878" w:rsidRDefault="003B0A2C" w:rsidP="0070678C">
      <w:pPr>
        <w:pStyle w:val="Heading3Numbered"/>
      </w:pPr>
      <w:r w:rsidRPr="00D36878">
        <w:t xml:space="preserve">The undertaking of </w:t>
      </w:r>
      <w:r w:rsidR="008153C0" w:rsidRPr="00D36878">
        <w:t xml:space="preserve">commercial or NIHR-funded </w:t>
      </w:r>
      <w:r w:rsidRPr="00D36878">
        <w:t xml:space="preserve">research </w:t>
      </w:r>
      <w:r w:rsidR="008153C0" w:rsidRPr="00D36878">
        <w:t xml:space="preserve">and disbursement of </w:t>
      </w:r>
      <w:r w:rsidRPr="00D36878">
        <w:t xml:space="preserve">by </w:t>
      </w:r>
      <w:r w:rsidR="008153C0" w:rsidRPr="00D36878">
        <w:t xml:space="preserve">associated Research Capability Funding by </w:t>
      </w:r>
      <w:r w:rsidRPr="00D36878">
        <w:t>ICB employees (substantive or honorary) shall be strictly in accordance with the ICB’s policies and strategies on research management and governance and shall be subject to approval accordingly.</w:t>
      </w:r>
    </w:p>
    <w:p w14:paraId="71A0D0ED" w14:textId="4276C713" w:rsidR="00030013" w:rsidRPr="00D36878" w:rsidRDefault="003B0A2C" w:rsidP="0070678C">
      <w:pPr>
        <w:pStyle w:val="Heading3Numbered"/>
      </w:pPr>
      <w:r w:rsidRPr="00D36878">
        <w:t xml:space="preserve">The Standing Financial Instructions apply equally when undertaking externally funded research activity within the </w:t>
      </w:r>
      <w:r w:rsidR="007D7E39" w:rsidRPr="00D36878">
        <w:t>ICB</w:t>
      </w:r>
      <w:r w:rsidRPr="00D36878">
        <w:t xml:space="preserve">, particularly: </w:t>
      </w:r>
    </w:p>
    <w:p w14:paraId="0E9E4FB8" w14:textId="7B993EE1" w:rsidR="003B0A2C" w:rsidRPr="00D36878" w:rsidRDefault="003B0A2C" w:rsidP="0074740C">
      <w:pPr>
        <w:pStyle w:val="Default"/>
        <w:numPr>
          <w:ilvl w:val="0"/>
          <w:numId w:val="72"/>
        </w:numPr>
        <w:ind w:left="709"/>
        <w:rPr>
          <w:rFonts w:cstheme="minorBidi"/>
          <w:color w:val="auto"/>
        </w:rPr>
      </w:pPr>
      <w:r w:rsidRPr="00D36878">
        <w:rPr>
          <w:rFonts w:cstheme="minorBidi"/>
          <w:color w:val="auto"/>
        </w:rPr>
        <w:t xml:space="preserve">Section </w:t>
      </w:r>
      <w:r w:rsidR="00030013" w:rsidRPr="00D36878">
        <w:rPr>
          <w:rFonts w:cstheme="minorBidi"/>
          <w:color w:val="auto"/>
        </w:rPr>
        <w:t>6</w:t>
      </w:r>
      <w:r w:rsidR="00030013" w:rsidRPr="00D36878">
        <w:rPr>
          <w:rFonts w:cstheme="minorBidi"/>
          <w:color w:val="auto"/>
        </w:rPr>
        <w:tab/>
      </w:r>
      <w:r w:rsidRPr="00D36878">
        <w:rPr>
          <w:rFonts w:cstheme="minorBidi"/>
          <w:color w:val="auto"/>
        </w:rPr>
        <w:t xml:space="preserve">Planning, Budgets and Budgetary Control </w:t>
      </w:r>
    </w:p>
    <w:p w14:paraId="6A6509E0" w14:textId="7B4A915C" w:rsidR="003B0A2C" w:rsidRPr="00D36878" w:rsidRDefault="003B0A2C" w:rsidP="0074740C">
      <w:pPr>
        <w:pStyle w:val="Default"/>
        <w:numPr>
          <w:ilvl w:val="0"/>
          <w:numId w:val="72"/>
        </w:numPr>
        <w:ind w:left="709"/>
        <w:rPr>
          <w:rFonts w:cstheme="minorBidi"/>
          <w:color w:val="auto"/>
        </w:rPr>
      </w:pPr>
      <w:r w:rsidRPr="00D36878">
        <w:rPr>
          <w:rFonts w:cstheme="minorBidi"/>
          <w:color w:val="auto"/>
        </w:rPr>
        <w:t xml:space="preserve">Section </w:t>
      </w:r>
      <w:r w:rsidR="00030013" w:rsidRPr="00D36878">
        <w:rPr>
          <w:rFonts w:cstheme="minorBidi"/>
          <w:color w:val="auto"/>
        </w:rPr>
        <w:t>7</w:t>
      </w:r>
      <w:r w:rsidR="00030013" w:rsidRPr="00D36878">
        <w:rPr>
          <w:rFonts w:cstheme="minorBidi"/>
          <w:color w:val="auto"/>
        </w:rPr>
        <w:tab/>
        <w:t>Income, banking arrangements and debt recovery</w:t>
      </w:r>
      <w:r w:rsidRPr="00D36878">
        <w:rPr>
          <w:rFonts w:cstheme="minorBidi"/>
          <w:color w:val="auto"/>
        </w:rPr>
        <w:t xml:space="preserve"> </w:t>
      </w:r>
    </w:p>
    <w:p w14:paraId="321CC25D" w14:textId="4817F0D6" w:rsidR="00030013" w:rsidRPr="00D36878" w:rsidRDefault="003B0A2C" w:rsidP="0074740C">
      <w:pPr>
        <w:pStyle w:val="Default"/>
        <w:numPr>
          <w:ilvl w:val="0"/>
          <w:numId w:val="72"/>
        </w:numPr>
        <w:ind w:left="709"/>
        <w:rPr>
          <w:rFonts w:cstheme="minorBidi"/>
          <w:color w:val="auto"/>
        </w:rPr>
      </w:pPr>
      <w:r w:rsidRPr="00D36878">
        <w:rPr>
          <w:rFonts w:cstheme="minorBidi"/>
          <w:color w:val="auto"/>
        </w:rPr>
        <w:t xml:space="preserve">Section </w:t>
      </w:r>
      <w:r w:rsidR="00030013" w:rsidRPr="00D36878">
        <w:rPr>
          <w:rFonts w:cstheme="minorBidi"/>
          <w:color w:val="auto"/>
        </w:rPr>
        <w:t>8</w:t>
      </w:r>
      <w:r w:rsidR="00030013" w:rsidRPr="00D36878">
        <w:rPr>
          <w:rFonts w:cstheme="minorBidi"/>
          <w:color w:val="auto"/>
        </w:rPr>
        <w:tab/>
        <w:t>Procurement and purchasing</w:t>
      </w:r>
    </w:p>
    <w:p w14:paraId="4138D3E1" w14:textId="075562CE" w:rsidR="003B0A2C" w:rsidRPr="00D36878" w:rsidRDefault="00030013" w:rsidP="0074740C">
      <w:pPr>
        <w:pStyle w:val="Default"/>
        <w:numPr>
          <w:ilvl w:val="0"/>
          <w:numId w:val="72"/>
        </w:numPr>
        <w:ind w:left="709"/>
        <w:rPr>
          <w:rFonts w:cstheme="minorBidi"/>
          <w:color w:val="auto"/>
        </w:rPr>
      </w:pPr>
      <w:r w:rsidRPr="00D36878">
        <w:rPr>
          <w:rFonts w:cstheme="minorBidi"/>
          <w:color w:val="auto"/>
        </w:rPr>
        <w:t xml:space="preserve">Section </w:t>
      </w:r>
      <w:r w:rsidR="003B0A2C" w:rsidRPr="00D36878">
        <w:rPr>
          <w:rFonts w:cstheme="minorBidi"/>
          <w:color w:val="auto"/>
        </w:rPr>
        <w:t xml:space="preserve">9 </w:t>
      </w:r>
      <w:r w:rsidRPr="00D36878">
        <w:rPr>
          <w:rFonts w:cstheme="minorBidi"/>
          <w:color w:val="auto"/>
        </w:rPr>
        <w:tab/>
        <w:t>Contract Tendering Procedure</w:t>
      </w:r>
    </w:p>
    <w:p w14:paraId="3C254218" w14:textId="13EF5520" w:rsidR="003B0A2C" w:rsidRPr="00D36878" w:rsidRDefault="003B0A2C" w:rsidP="0074740C">
      <w:pPr>
        <w:pStyle w:val="Default"/>
        <w:numPr>
          <w:ilvl w:val="0"/>
          <w:numId w:val="72"/>
        </w:numPr>
        <w:ind w:left="709"/>
        <w:rPr>
          <w:rFonts w:cstheme="minorBidi"/>
          <w:color w:val="auto"/>
        </w:rPr>
      </w:pPr>
      <w:r w:rsidRPr="00D36878">
        <w:rPr>
          <w:rFonts w:cstheme="minorBidi"/>
          <w:color w:val="auto"/>
        </w:rPr>
        <w:t>Section 10</w:t>
      </w:r>
      <w:r w:rsidR="00030013" w:rsidRPr="00D36878">
        <w:rPr>
          <w:rFonts w:cstheme="minorBidi"/>
          <w:color w:val="auto"/>
        </w:rPr>
        <w:tab/>
        <w:t>Staff costs and staff related non pay expenditure</w:t>
      </w:r>
    </w:p>
    <w:p w14:paraId="7C656702" w14:textId="1B8F0EE0" w:rsidR="003B0A2C" w:rsidRPr="00D36878" w:rsidRDefault="003B0A2C" w:rsidP="0074740C">
      <w:pPr>
        <w:pStyle w:val="Default"/>
        <w:numPr>
          <w:ilvl w:val="0"/>
          <w:numId w:val="72"/>
        </w:numPr>
        <w:ind w:left="709"/>
        <w:rPr>
          <w:rFonts w:cstheme="minorBidi"/>
          <w:color w:val="auto"/>
        </w:rPr>
      </w:pPr>
      <w:r w:rsidRPr="00D36878">
        <w:rPr>
          <w:rFonts w:cstheme="minorBidi"/>
          <w:color w:val="auto"/>
        </w:rPr>
        <w:t>Section 11</w:t>
      </w:r>
      <w:r w:rsidR="00030013" w:rsidRPr="00D36878">
        <w:rPr>
          <w:rFonts w:cstheme="minorBidi"/>
          <w:color w:val="auto"/>
        </w:rPr>
        <w:tab/>
        <w:t>Non pay expenditure</w:t>
      </w:r>
    </w:p>
    <w:p w14:paraId="4BF2C03E" w14:textId="2874D863" w:rsidR="003B0A2C" w:rsidRPr="00D36878" w:rsidRDefault="003B0A2C" w:rsidP="0074740C">
      <w:pPr>
        <w:pStyle w:val="Default"/>
        <w:numPr>
          <w:ilvl w:val="0"/>
          <w:numId w:val="72"/>
        </w:numPr>
        <w:ind w:left="709"/>
        <w:rPr>
          <w:rFonts w:cstheme="minorBidi"/>
          <w:color w:val="auto"/>
        </w:rPr>
      </w:pPr>
      <w:r w:rsidRPr="00D36878">
        <w:rPr>
          <w:rFonts w:cstheme="minorBidi"/>
          <w:color w:val="auto"/>
        </w:rPr>
        <w:t>Section 1</w:t>
      </w:r>
      <w:r w:rsidR="00030013" w:rsidRPr="00D36878">
        <w:rPr>
          <w:rFonts w:cstheme="minorBidi"/>
          <w:color w:val="auto"/>
        </w:rPr>
        <w:t>4</w:t>
      </w:r>
      <w:r w:rsidR="00030013" w:rsidRPr="00D36878">
        <w:rPr>
          <w:rFonts w:cstheme="minorBidi"/>
          <w:color w:val="auto"/>
        </w:rPr>
        <w:tab/>
        <w:t>Fraud, bribery and corruption</w:t>
      </w:r>
    </w:p>
    <w:p w14:paraId="0F4B312A" w14:textId="0092F4AA" w:rsidR="00030013" w:rsidRPr="00D36878" w:rsidRDefault="003B0A2C" w:rsidP="0074740C">
      <w:pPr>
        <w:pStyle w:val="Default"/>
        <w:numPr>
          <w:ilvl w:val="0"/>
          <w:numId w:val="72"/>
        </w:numPr>
        <w:ind w:left="709"/>
        <w:rPr>
          <w:rFonts w:cstheme="minorBidi"/>
          <w:color w:val="auto"/>
        </w:rPr>
      </w:pPr>
      <w:r w:rsidRPr="00D36878">
        <w:rPr>
          <w:rFonts w:cstheme="minorBidi"/>
          <w:color w:val="auto"/>
        </w:rPr>
        <w:t xml:space="preserve">Section </w:t>
      </w:r>
      <w:r w:rsidR="00030013" w:rsidRPr="00D36878">
        <w:rPr>
          <w:rFonts w:cstheme="minorBidi"/>
          <w:color w:val="auto"/>
        </w:rPr>
        <w:t>16</w:t>
      </w:r>
      <w:r w:rsidR="00030013" w:rsidRPr="00D36878">
        <w:rPr>
          <w:rFonts w:cstheme="minorBidi"/>
          <w:color w:val="auto"/>
        </w:rPr>
        <w:tab/>
        <w:t>Gifts and donations</w:t>
      </w:r>
    </w:p>
    <w:p w14:paraId="54B13723" w14:textId="0F562833" w:rsidR="003B0A2C" w:rsidRPr="00D36878" w:rsidRDefault="003B0A2C" w:rsidP="0074740C">
      <w:pPr>
        <w:pStyle w:val="Default"/>
        <w:numPr>
          <w:ilvl w:val="0"/>
          <w:numId w:val="72"/>
        </w:numPr>
        <w:ind w:left="709"/>
        <w:rPr>
          <w:rFonts w:cstheme="minorBidi"/>
          <w:color w:val="auto"/>
        </w:rPr>
      </w:pPr>
      <w:r w:rsidRPr="00D36878">
        <w:rPr>
          <w:rFonts w:cstheme="minorBidi"/>
          <w:color w:val="auto"/>
        </w:rPr>
        <w:t xml:space="preserve">Section </w:t>
      </w:r>
      <w:r w:rsidR="00030013" w:rsidRPr="00D36878">
        <w:rPr>
          <w:rFonts w:cstheme="minorBidi"/>
          <w:color w:val="auto"/>
        </w:rPr>
        <w:t>17</w:t>
      </w:r>
      <w:r w:rsidR="00030013" w:rsidRPr="00D36878">
        <w:rPr>
          <w:rFonts w:cstheme="minorBidi"/>
          <w:color w:val="auto"/>
        </w:rPr>
        <w:tab/>
      </w:r>
      <w:r w:rsidRPr="00D36878">
        <w:rPr>
          <w:rFonts w:cstheme="minorBidi"/>
          <w:color w:val="auto"/>
        </w:rPr>
        <w:t xml:space="preserve">Retention of Documents </w:t>
      </w:r>
    </w:p>
    <w:p w14:paraId="40B389CD" w14:textId="61912777" w:rsidR="00030013" w:rsidRPr="00D36878" w:rsidRDefault="00030013" w:rsidP="0074740C">
      <w:pPr>
        <w:pStyle w:val="Default"/>
        <w:numPr>
          <w:ilvl w:val="0"/>
          <w:numId w:val="72"/>
        </w:numPr>
        <w:ind w:left="709"/>
        <w:rPr>
          <w:rFonts w:cstheme="minorBidi"/>
          <w:color w:val="auto"/>
        </w:rPr>
      </w:pPr>
      <w:r w:rsidRPr="00D36878">
        <w:rPr>
          <w:rFonts w:cstheme="minorBidi"/>
          <w:color w:val="auto"/>
        </w:rPr>
        <w:t>Section 18</w:t>
      </w:r>
      <w:r w:rsidRPr="00D36878">
        <w:rPr>
          <w:rFonts w:cstheme="minorBidi"/>
          <w:color w:val="auto"/>
        </w:rPr>
        <w:tab/>
        <w:t>Risk Management, legal and insurance.</w:t>
      </w:r>
    </w:p>
    <w:p w14:paraId="5F8294E2" w14:textId="5002AC28" w:rsidR="00030013" w:rsidRPr="00D36878" w:rsidRDefault="00030013" w:rsidP="0070678C">
      <w:pPr>
        <w:pStyle w:val="Heading3Numbered"/>
      </w:pPr>
      <w:r w:rsidRPr="00D36878">
        <w:t>The principles governing probity and public accountability shall apply equally to work undertaken through externally funded researc</w:t>
      </w:r>
      <w:r w:rsidR="007D7E39" w:rsidRPr="00D36878">
        <w:t>h</w:t>
      </w:r>
      <w:r w:rsidRPr="00D36878">
        <w:t>.</w:t>
      </w:r>
    </w:p>
    <w:p w14:paraId="56E264A0" w14:textId="77777777" w:rsidR="00030013" w:rsidRPr="00353739" w:rsidRDefault="00030013" w:rsidP="00030013">
      <w:pPr>
        <w:pStyle w:val="Heading2Numbered"/>
        <w:spacing w:before="360"/>
        <w:ind w:left="0"/>
        <w:rPr>
          <w:color w:val="002060"/>
        </w:rPr>
      </w:pPr>
      <w:bookmarkStart w:id="64" w:name="_Toc230249806"/>
      <w:r w:rsidRPr="00353739">
        <w:rPr>
          <w:color w:val="002060"/>
        </w:rPr>
        <w:t>Research Applications</w:t>
      </w:r>
      <w:bookmarkEnd w:id="64"/>
      <w:r w:rsidRPr="00353739">
        <w:rPr>
          <w:color w:val="002060"/>
        </w:rPr>
        <w:t xml:space="preserve"> </w:t>
      </w:r>
    </w:p>
    <w:p w14:paraId="463B2352" w14:textId="4335A0E8" w:rsidR="00030013" w:rsidRPr="00D36878" w:rsidRDefault="00030013" w:rsidP="0074740C">
      <w:pPr>
        <w:pStyle w:val="Heading3Numbered"/>
        <w:numPr>
          <w:ilvl w:val="2"/>
          <w:numId w:val="73"/>
        </w:numPr>
      </w:pPr>
      <w:r w:rsidRPr="00D36878">
        <w:t xml:space="preserve">All applications for research funding </w:t>
      </w:r>
      <w:r w:rsidR="008153C0" w:rsidRPr="00D36878">
        <w:t>and disbursement of Research Capa</w:t>
      </w:r>
      <w:r w:rsidR="000D72F2" w:rsidRPr="00D36878">
        <w:t>bility</w:t>
      </w:r>
      <w:r w:rsidR="008153C0" w:rsidRPr="00D36878">
        <w:t xml:space="preserve"> Funding, including </w:t>
      </w:r>
      <w:proofErr w:type="gramStart"/>
      <w:r w:rsidR="008153C0" w:rsidRPr="00D36878">
        <w:t>entering into</w:t>
      </w:r>
      <w:proofErr w:type="gramEnd"/>
      <w:r w:rsidR="008153C0" w:rsidRPr="00D36878">
        <w:t xml:space="preserve"> </w:t>
      </w:r>
      <w:r w:rsidR="0058654D" w:rsidRPr="00D36878">
        <w:t xml:space="preserve">RCF </w:t>
      </w:r>
      <w:r w:rsidR="008153C0" w:rsidRPr="00D36878">
        <w:t xml:space="preserve">Collaboration Agreements </w:t>
      </w:r>
      <w:r w:rsidRPr="00D36878">
        <w:t xml:space="preserve">require approval from the Chief Finance Officer or a designated deputy. </w:t>
      </w:r>
      <w:r w:rsidR="00420AFD" w:rsidRPr="00D36878">
        <w:t xml:space="preserve"> </w:t>
      </w:r>
      <w:r w:rsidRPr="00D36878">
        <w:t>This applies to applications to both NHS funders</w:t>
      </w:r>
      <w:r w:rsidR="00420AFD" w:rsidRPr="00D36878">
        <w:t xml:space="preserve"> </w:t>
      </w:r>
      <w:r w:rsidRPr="00D36878">
        <w:t>and to non-NHS organisations, such as charitable bodies and research councils</w:t>
      </w:r>
      <w:r w:rsidR="007D7E39" w:rsidRPr="00D36878">
        <w:t>.</w:t>
      </w:r>
    </w:p>
    <w:p w14:paraId="28B10D5B" w14:textId="7C90C766" w:rsidR="00030013" w:rsidRPr="00D36878" w:rsidRDefault="00030013" w:rsidP="00030013">
      <w:pPr>
        <w:pStyle w:val="Default"/>
        <w:spacing w:before="300" w:after="100"/>
        <w:ind w:left="142"/>
        <w:rPr>
          <w:rFonts w:eastAsiaTheme="majorEastAsia" w:cstheme="majorBidi"/>
          <w:color w:val="auto"/>
        </w:rPr>
      </w:pPr>
      <w:r w:rsidRPr="00D36878">
        <w:rPr>
          <w:color w:val="auto"/>
        </w:rPr>
        <w:t xml:space="preserve">12.3.2 All other documents* relating to </w:t>
      </w:r>
      <w:r w:rsidR="00420AFD" w:rsidRPr="00D36878">
        <w:rPr>
          <w:color w:val="auto"/>
        </w:rPr>
        <w:t>r</w:t>
      </w:r>
      <w:r w:rsidRPr="00D36878">
        <w:rPr>
          <w:color w:val="auto"/>
        </w:rPr>
        <w:t>esearch will require approval from the Chief Medical Officer or a designated deputy, once all the necessary checks have been carried out, including finance checks where applicable</w:t>
      </w:r>
      <w:r w:rsidR="000D72F2" w:rsidRPr="00D36878">
        <w:rPr>
          <w:color w:val="auto"/>
        </w:rPr>
        <w:t xml:space="preserve">, and advice from </w:t>
      </w:r>
      <w:r w:rsidR="001131CF">
        <w:rPr>
          <w:color w:val="auto"/>
        </w:rPr>
        <w:t xml:space="preserve">the appropriate </w:t>
      </w:r>
      <w:r w:rsidR="00431724">
        <w:rPr>
          <w:color w:val="auto"/>
        </w:rPr>
        <w:t xml:space="preserve">advisory body </w:t>
      </w:r>
      <w:r w:rsidR="000D72F2" w:rsidRPr="0005537C">
        <w:rPr>
          <w:color w:val="auto"/>
        </w:rPr>
        <w:t xml:space="preserve">and the </w:t>
      </w:r>
      <w:r w:rsidR="00842AC2" w:rsidRPr="0005537C">
        <w:rPr>
          <w:color w:val="auto"/>
        </w:rPr>
        <w:t xml:space="preserve">relevant </w:t>
      </w:r>
      <w:r w:rsidR="000D72F2" w:rsidRPr="0005537C">
        <w:rPr>
          <w:color w:val="auto"/>
        </w:rPr>
        <w:t>ICB Committee.</w:t>
      </w:r>
    </w:p>
    <w:p w14:paraId="5649F5F7" w14:textId="0FF41FB0" w:rsidR="00030013" w:rsidRPr="00D36878" w:rsidRDefault="00030013" w:rsidP="00030013">
      <w:pPr>
        <w:pStyle w:val="Default"/>
        <w:ind w:left="142"/>
        <w:rPr>
          <w:color w:val="auto"/>
          <w:sz w:val="22"/>
          <w:szCs w:val="22"/>
        </w:rPr>
      </w:pPr>
      <w:r w:rsidRPr="00D36878">
        <w:rPr>
          <w:i/>
          <w:iCs/>
          <w:color w:val="auto"/>
          <w:sz w:val="22"/>
          <w:szCs w:val="22"/>
        </w:rPr>
        <w:lastRenderedPageBreak/>
        <w:t>*</w:t>
      </w:r>
      <w:proofErr w:type="gramStart"/>
      <w:r w:rsidRPr="00D36878">
        <w:rPr>
          <w:i/>
          <w:iCs/>
          <w:color w:val="auto"/>
          <w:sz w:val="22"/>
          <w:szCs w:val="22"/>
        </w:rPr>
        <w:t>other</w:t>
      </w:r>
      <w:proofErr w:type="gramEnd"/>
      <w:r w:rsidRPr="00D36878">
        <w:rPr>
          <w:i/>
          <w:iCs/>
          <w:color w:val="auto"/>
          <w:sz w:val="22"/>
          <w:szCs w:val="22"/>
        </w:rPr>
        <w:t xml:space="preserve"> documents include research contracts with funding bodies, </w:t>
      </w:r>
      <w:r w:rsidR="0058654D" w:rsidRPr="00D36878">
        <w:rPr>
          <w:i/>
          <w:iCs/>
          <w:color w:val="auto"/>
          <w:sz w:val="22"/>
          <w:szCs w:val="22"/>
        </w:rPr>
        <w:t xml:space="preserve">grant </w:t>
      </w:r>
      <w:r w:rsidRPr="00D36878">
        <w:rPr>
          <w:i/>
          <w:iCs/>
          <w:color w:val="auto"/>
          <w:sz w:val="22"/>
          <w:szCs w:val="22"/>
        </w:rPr>
        <w:t xml:space="preserve">collaboration agreements, commercial research contracts, site agreements, sub-contracts with participating organisations, contract variations and contract amendments. </w:t>
      </w:r>
    </w:p>
    <w:p w14:paraId="5FF75D71" w14:textId="089654FC" w:rsidR="003B0A2C" w:rsidRPr="00353739" w:rsidRDefault="00030013" w:rsidP="003B0A2C">
      <w:pPr>
        <w:pStyle w:val="Heading2Numbered"/>
        <w:spacing w:before="360"/>
        <w:ind w:left="0"/>
        <w:rPr>
          <w:color w:val="002060"/>
        </w:rPr>
      </w:pPr>
      <w:bookmarkStart w:id="65" w:name="_Toc230249807"/>
      <w:r w:rsidRPr="00353739">
        <w:rPr>
          <w:color w:val="002060"/>
        </w:rPr>
        <w:t>Intellectual Property</w:t>
      </w:r>
      <w:bookmarkEnd w:id="65"/>
    </w:p>
    <w:p w14:paraId="2D2FDAB0" w14:textId="18309E9B" w:rsidR="003B0A2C" w:rsidRPr="00D36878" w:rsidRDefault="00030013" w:rsidP="0070678C">
      <w:pPr>
        <w:pStyle w:val="Heading3Numbered"/>
      </w:pPr>
      <w:r w:rsidRPr="00D36878">
        <w:t xml:space="preserve">The agreement covering any undertaking of research shall recognise the </w:t>
      </w:r>
      <w:r w:rsidR="00420AFD" w:rsidRPr="00D36878">
        <w:t>ICB’s</w:t>
      </w:r>
      <w:r w:rsidRPr="00D36878">
        <w:t xml:space="preserve"> policies governing Intellectual Property rights. Where there is any lack of clarity this shall be resolved prior to undertaking the project.</w:t>
      </w:r>
    </w:p>
    <w:p w14:paraId="0050FCC5" w14:textId="401241A3" w:rsidR="003B0A2C" w:rsidRDefault="003B0A2C" w:rsidP="003B0A2C">
      <w:pPr>
        <w:pStyle w:val="BodyText"/>
      </w:pPr>
      <w:r>
        <w:br w:type="page"/>
      </w:r>
    </w:p>
    <w:p w14:paraId="34017E80" w14:textId="1DF91988" w:rsidR="0020380E" w:rsidRPr="00353739" w:rsidRDefault="0020380E" w:rsidP="0020380E">
      <w:pPr>
        <w:pStyle w:val="Heading1Numbered"/>
        <w:ind w:left="0"/>
        <w:rPr>
          <w:color w:val="002060"/>
          <w:sz w:val="52"/>
          <w:szCs w:val="24"/>
        </w:rPr>
      </w:pPr>
      <w:bookmarkStart w:id="66" w:name="_Toc230249808"/>
      <w:r w:rsidRPr="00353739">
        <w:rPr>
          <w:color w:val="002060"/>
          <w:sz w:val="52"/>
          <w:szCs w:val="24"/>
        </w:rPr>
        <w:lastRenderedPageBreak/>
        <w:t xml:space="preserve">Capital Investments, security of assets and </w:t>
      </w:r>
      <w:r w:rsidR="00353739">
        <w:rPr>
          <w:color w:val="002060"/>
          <w:sz w:val="52"/>
          <w:szCs w:val="24"/>
        </w:rPr>
        <w:t>g</w:t>
      </w:r>
      <w:r w:rsidRPr="00353739">
        <w:rPr>
          <w:color w:val="002060"/>
          <w:sz w:val="52"/>
          <w:szCs w:val="24"/>
        </w:rPr>
        <w:t>rants</w:t>
      </w:r>
      <w:bookmarkEnd w:id="66"/>
    </w:p>
    <w:p w14:paraId="0BDE4063" w14:textId="7D547EE0" w:rsidR="00EC51CF" w:rsidRPr="00353739" w:rsidRDefault="00EC51CF" w:rsidP="00EC51CF">
      <w:pPr>
        <w:pStyle w:val="Heading2Numbered"/>
        <w:ind w:left="0"/>
        <w:rPr>
          <w:color w:val="002060"/>
        </w:rPr>
      </w:pPr>
      <w:bookmarkStart w:id="67" w:name="_Toc230249809"/>
      <w:r w:rsidRPr="00353739">
        <w:rPr>
          <w:color w:val="002060"/>
        </w:rPr>
        <w:t>Capital investment</w:t>
      </w:r>
      <w:bookmarkEnd w:id="67"/>
    </w:p>
    <w:p w14:paraId="385ECBA4" w14:textId="47D36EBD" w:rsidR="0020380E" w:rsidRDefault="0020380E" w:rsidP="0070678C">
      <w:pPr>
        <w:pStyle w:val="Heading3Numbered"/>
      </w:pPr>
      <w:r>
        <w:t xml:space="preserve">The </w:t>
      </w:r>
      <w:r w:rsidR="00220CAE">
        <w:t>Chief Finance Officer</w:t>
      </w:r>
      <w:r>
        <w:t xml:space="preserve"> is responsible for:</w:t>
      </w:r>
    </w:p>
    <w:p w14:paraId="27B735EF" w14:textId="77777777" w:rsidR="0020380E" w:rsidRDefault="0020380E" w:rsidP="00D16CEC">
      <w:pPr>
        <w:pStyle w:val="BodyText"/>
        <w:numPr>
          <w:ilvl w:val="0"/>
          <w:numId w:val="17"/>
        </w:numPr>
        <w:spacing w:before="80" w:after="200" w:line="240" w:lineRule="auto"/>
        <w:ind w:left="714" w:hanging="357"/>
      </w:pPr>
      <w:r>
        <w:t xml:space="preserve">ensuring that at the commencement </w:t>
      </w:r>
      <w:r w:rsidRPr="000A4C1F">
        <w:t xml:space="preserve">of each financial year, </w:t>
      </w:r>
      <w:r>
        <w:t>the ICB</w:t>
      </w:r>
      <w:r w:rsidRPr="000A4C1F">
        <w:t xml:space="preserve"> and its partner NHS trusts and NHS foundation trusts prepare a plan setting out their planned capital resource use</w:t>
      </w:r>
      <w:r>
        <w:t>;</w:t>
      </w:r>
    </w:p>
    <w:p w14:paraId="3A9CE61F" w14:textId="77777777" w:rsidR="0020380E" w:rsidRDefault="0020380E" w:rsidP="00D16CEC">
      <w:pPr>
        <w:pStyle w:val="BodyText"/>
        <w:numPr>
          <w:ilvl w:val="0"/>
          <w:numId w:val="17"/>
        </w:numPr>
        <w:spacing w:before="80" w:after="200" w:line="240" w:lineRule="auto"/>
        <w:ind w:left="714" w:hanging="357"/>
      </w:pPr>
      <w:r>
        <w:t xml:space="preserve">ensuring that the </w:t>
      </w:r>
      <w:r w:rsidRPr="00F83C41">
        <w:t>ICB</w:t>
      </w:r>
      <w:r>
        <w:t xml:space="preserve"> </w:t>
      </w:r>
      <w:r w:rsidRPr="00F83C41">
        <w:t>and its partner NHS trusts and NHS foundation trusts exercise their functions with a view to ensuring that, in respect of each financial year local capital resource use does not exceed the limit specified in a direction by NHS England</w:t>
      </w:r>
      <w:r>
        <w:t>;</w:t>
      </w:r>
      <w:r w:rsidRPr="00856248">
        <w:t xml:space="preserve"> </w:t>
      </w:r>
    </w:p>
    <w:p w14:paraId="3034F400" w14:textId="77777777" w:rsidR="0020380E" w:rsidRDefault="0020380E" w:rsidP="00D16CEC">
      <w:pPr>
        <w:pStyle w:val="BodyText"/>
        <w:numPr>
          <w:ilvl w:val="0"/>
          <w:numId w:val="17"/>
        </w:numPr>
        <w:spacing w:before="80" w:after="200" w:line="240" w:lineRule="auto"/>
        <w:ind w:left="714" w:hanging="357"/>
      </w:pPr>
      <w:r>
        <w:t>ensuring that there is an effective appraisal and approval process in place for determining capital expenditure priorities and the effect of each proposal upon business plans;</w:t>
      </w:r>
    </w:p>
    <w:p w14:paraId="7A817B70" w14:textId="0BA60851" w:rsidR="0020380E" w:rsidRPr="00F37C68" w:rsidRDefault="0020380E" w:rsidP="00D16CEC">
      <w:pPr>
        <w:pStyle w:val="BodyText"/>
        <w:numPr>
          <w:ilvl w:val="0"/>
          <w:numId w:val="17"/>
        </w:numPr>
        <w:spacing w:before="80" w:after="200" w:line="240" w:lineRule="auto"/>
        <w:ind w:left="714" w:hanging="357"/>
        <w:rPr>
          <w:color w:val="auto"/>
        </w:rPr>
      </w:pPr>
      <w:r>
        <w:t xml:space="preserve">ensuring that there are processes in place for the management of all stages of </w:t>
      </w:r>
      <w:r w:rsidR="00090076" w:rsidRPr="00F37C68">
        <w:rPr>
          <w:color w:val="auto"/>
        </w:rPr>
        <w:t xml:space="preserve">ICB </w:t>
      </w:r>
      <w:r w:rsidRPr="00F37C68">
        <w:rPr>
          <w:color w:val="auto"/>
        </w:rPr>
        <w:t xml:space="preserve">capital schemes, that will ensure schemes are delivered on time and to cost; </w:t>
      </w:r>
    </w:p>
    <w:p w14:paraId="546976EA" w14:textId="77777777" w:rsidR="0020380E" w:rsidRPr="00F37C68" w:rsidRDefault="0020380E" w:rsidP="00D16CEC">
      <w:pPr>
        <w:pStyle w:val="BodyText"/>
        <w:numPr>
          <w:ilvl w:val="0"/>
          <w:numId w:val="17"/>
        </w:numPr>
        <w:spacing w:before="80" w:after="200" w:line="240" w:lineRule="auto"/>
        <w:ind w:left="714" w:hanging="357"/>
        <w:rPr>
          <w:color w:val="auto"/>
        </w:rPr>
      </w:pPr>
      <w:r w:rsidRPr="00F37C68">
        <w:rPr>
          <w:color w:val="auto"/>
        </w:rPr>
        <w:t xml:space="preserve">ensuring that capital investment is not authorised without evidence of availability of resources to finance all revenue consequences; and </w:t>
      </w:r>
    </w:p>
    <w:p w14:paraId="6D03D954" w14:textId="78F445DF" w:rsidR="0020380E" w:rsidRDefault="0020380E" w:rsidP="00D16CEC">
      <w:pPr>
        <w:pStyle w:val="BodyText"/>
        <w:numPr>
          <w:ilvl w:val="0"/>
          <w:numId w:val="17"/>
        </w:numPr>
        <w:spacing w:before="80" w:after="200" w:line="240" w:lineRule="auto"/>
        <w:ind w:left="714" w:hanging="357"/>
      </w:pPr>
      <w:r w:rsidRPr="00F37C68">
        <w:rPr>
          <w:color w:val="auto"/>
        </w:rPr>
        <w:t xml:space="preserve">for every </w:t>
      </w:r>
      <w:r w:rsidR="00090076" w:rsidRPr="00F37C68">
        <w:rPr>
          <w:color w:val="auto"/>
        </w:rPr>
        <w:t xml:space="preserve">ICB </w:t>
      </w:r>
      <w:r w:rsidRPr="00F37C68">
        <w:rPr>
          <w:color w:val="auto"/>
        </w:rPr>
        <w:t xml:space="preserve">capital </w:t>
      </w:r>
      <w:r>
        <w:t xml:space="preserve">expenditure proposal, the </w:t>
      </w:r>
      <w:r w:rsidR="00220CAE">
        <w:t>Chief Finance Officer</w:t>
      </w:r>
      <w:r>
        <w:t xml:space="preserve"> is responsible for ensuring there are processes in place to ensure that a business case is produced.</w:t>
      </w:r>
    </w:p>
    <w:p w14:paraId="1395772B" w14:textId="26CC011E" w:rsidR="003C5DC7" w:rsidRDefault="003C5DC7" w:rsidP="00D16CEC">
      <w:pPr>
        <w:pStyle w:val="BodyText"/>
        <w:numPr>
          <w:ilvl w:val="0"/>
          <w:numId w:val="17"/>
        </w:numPr>
        <w:spacing w:before="80" w:after="200" w:line="240" w:lineRule="auto"/>
        <w:ind w:left="714" w:hanging="357"/>
      </w:pPr>
      <w:r>
        <w:t>the accountability of ICB property assets and for managing property.</w:t>
      </w:r>
    </w:p>
    <w:p w14:paraId="47B5620D" w14:textId="400A7B61" w:rsidR="0020380E" w:rsidRPr="00772EB5" w:rsidRDefault="00627CE0" w:rsidP="0070678C">
      <w:pPr>
        <w:pStyle w:val="Heading3Numbered"/>
      </w:pPr>
      <w:r>
        <w:t xml:space="preserve">The ICB shall ensure </w:t>
      </w:r>
      <w:r w:rsidR="0020380E" w:rsidRPr="00772EB5">
        <w:t xml:space="preserve">there is a property governance and management framework, which </w:t>
      </w:r>
    </w:p>
    <w:p w14:paraId="147F745A" w14:textId="5A8EB926" w:rsidR="0020380E" w:rsidRPr="00772EB5" w:rsidRDefault="00627CE0" w:rsidP="00D16CEC">
      <w:pPr>
        <w:pStyle w:val="BodyText"/>
        <w:numPr>
          <w:ilvl w:val="0"/>
          <w:numId w:val="19"/>
        </w:numPr>
        <w:spacing w:before="80" w:after="200" w:line="240" w:lineRule="auto"/>
        <w:ind w:left="714" w:hanging="357"/>
      </w:pPr>
      <w:r w:rsidRPr="00772EB5">
        <w:t>confirms</w:t>
      </w:r>
      <w:r w:rsidR="0020380E" w:rsidRPr="00772EB5">
        <w:t xml:space="preserve"> the ICB asset portfolio supports its business objectives; and </w:t>
      </w:r>
    </w:p>
    <w:p w14:paraId="789F5C2F" w14:textId="6A01BFA8" w:rsidR="0020380E" w:rsidRPr="00772EB5" w:rsidRDefault="0020380E" w:rsidP="00D16CEC">
      <w:pPr>
        <w:pStyle w:val="BodyText"/>
        <w:numPr>
          <w:ilvl w:val="0"/>
          <w:numId w:val="19"/>
        </w:numPr>
        <w:spacing w:before="80" w:after="200" w:line="240" w:lineRule="auto"/>
        <w:ind w:left="714" w:hanging="357"/>
      </w:pPr>
      <w:r w:rsidRPr="00772EB5">
        <w:t>compl</w:t>
      </w:r>
      <w:r>
        <w:t>ies</w:t>
      </w:r>
      <w:r w:rsidRPr="00772EB5">
        <w:t xml:space="preserve"> with NHS England policies and directives and with this standard</w:t>
      </w:r>
      <w:r w:rsidR="00EF139A">
        <w:t>.</w:t>
      </w:r>
    </w:p>
    <w:p w14:paraId="14A07FD2" w14:textId="77777777" w:rsidR="0020380E" w:rsidRDefault="0020380E" w:rsidP="0070678C">
      <w:pPr>
        <w:pStyle w:val="Heading3Numbered"/>
      </w:pPr>
      <w:r>
        <w:t>Capital commitments typically cover land, buildings, equipment, capital grants to third parties and IT, including:</w:t>
      </w:r>
    </w:p>
    <w:p w14:paraId="6C5461CB" w14:textId="77777777" w:rsidR="0020380E" w:rsidRDefault="0020380E" w:rsidP="00D16CEC">
      <w:pPr>
        <w:pStyle w:val="BodyText"/>
        <w:numPr>
          <w:ilvl w:val="0"/>
          <w:numId w:val="18"/>
        </w:numPr>
        <w:spacing w:before="80" w:after="200" w:line="240" w:lineRule="auto"/>
        <w:ind w:left="714" w:hanging="357"/>
      </w:pPr>
      <w:r>
        <w:t>authority to spend capital or make a capital grant;</w:t>
      </w:r>
    </w:p>
    <w:p w14:paraId="7C38A606" w14:textId="77777777" w:rsidR="0020380E" w:rsidRDefault="0020380E" w:rsidP="00D16CEC">
      <w:pPr>
        <w:pStyle w:val="BodyText"/>
        <w:numPr>
          <w:ilvl w:val="0"/>
          <w:numId w:val="18"/>
        </w:numPr>
        <w:spacing w:before="80" w:after="200" w:line="240" w:lineRule="auto"/>
        <w:ind w:left="714" w:hanging="357"/>
      </w:pPr>
      <w:r>
        <w:t xml:space="preserve">authority to </w:t>
      </w:r>
      <w:proofErr w:type="gramStart"/>
      <w:r>
        <w:t>enter into</w:t>
      </w:r>
      <w:proofErr w:type="gramEnd"/>
      <w:r>
        <w:t xml:space="preserve"> leasing arrangements.</w:t>
      </w:r>
    </w:p>
    <w:p w14:paraId="7674F1BD" w14:textId="4EBABA11" w:rsidR="00EC51CF" w:rsidRDefault="00EC51CF" w:rsidP="0070678C">
      <w:pPr>
        <w:pStyle w:val="Heading3Numbered"/>
      </w:pPr>
      <w:r>
        <w:lastRenderedPageBreak/>
        <w:t xml:space="preserve">Advice should be sought from the </w:t>
      </w:r>
      <w:r w:rsidR="00220CAE">
        <w:t>Chief Finance Officer</w:t>
      </w:r>
      <w:r>
        <w:t xml:space="preserve"> or nominated officer if there is any doubt as to whether any proposal is a capital commitment requiring formal approval.</w:t>
      </w:r>
    </w:p>
    <w:p w14:paraId="0F24F478" w14:textId="07DEC3A4" w:rsidR="00D16CEC" w:rsidRPr="00803C48" w:rsidRDefault="00EC51CF" w:rsidP="0070678C">
      <w:pPr>
        <w:pStyle w:val="Heading3Numbered"/>
        <w:rPr>
          <w:color w:val="auto"/>
        </w:rPr>
      </w:pPr>
      <w:r>
        <w:t xml:space="preserve">The approval of a capital programme shall not constitute approval for expenditure on any scheme.  </w:t>
      </w:r>
      <w:r w:rsidR="00D16CEC">
        <w:t xml:space="preserve">Providing all the conditions and circumstances set out in these Standing Financial Instructions have been fully complied with </w:t>
      </w:r>
      <w:r w:rsidR="00540DD4">
        <w:t xml:space="preserve">approval of capital </w:t>
      </w:r>
      <w:r w:rsidR="00AC4156">
        <w:t>schemes</w:t>
      </w:r>
      <w:r w:rsidR="00D16CEC">
        <w:t xml:space="preserve"> may be given by the </w:t>
      </w:r>
      <w:r w:rsidR="00D16CEC" w:rsidRPr="00803C48">
        <w:rPr>
          <w:color w:val="auto"/>
        </w:rPr>
        <w:t xml:space="preserve">following staff to the total value of (contract life cycle </w:t>
      </w:r>
      <w:r w:rsidR="00F37C68" w:rsidRPr="00803C48">
        <w:rPr>
          <w:color w:val="auto"/>
        </w:rPr>
        <w:t>excl.</w:t>
      </w:r>
      <w:r w:rsidR="00D16CEC" w:rsidRPr="00803C48">
        <w:rPr>
          <w:color w:val="auto"/>
        </w:rPr>
        <w:t xml:space="preserve"> VAT):</w:t>
      </w:r>
    </w:p>
    <w:p w14:paraId="51A27680" w14:textId="470BA8F4" w:rsidR="00EC51CF" w:rsidRPr="00803C48" w:rsidRDefault="00090076" w:rsidP="0074740C">
      <w:pPr>
        <w:pStyle w:val="Heading3Numbered"/>
        <w:numPr>
          <w:ilvl w:val="0"/>
          <w:numId w:val="45"/>
        </w:numPr>
      </w:pPr>
      <w:r w:rsidRPr="00803C48">
        <w:t>&lt;</w:t>
      </w:r>
      <w:r w:rsidR="00EC51CF" w:rsidRPr="00803C48">
        <w:t>£500k Chief Finance Officer.</w:t>
      </w:r>
    </w:p>
    <w:p w14:paraId="1AC83FBF" w14:textId="4D1896A0" w:rsidR="00540DD4" w:rsidRPr="00803C48" w:rsidRDefault="00090076" w:rsidP="0074740C">
      <w:pPr>
        <w:pStyle w:val="Heading3Numbered"/>
        <w:numPr>
          <w:ilvl w:val="0"/>
          <w:numId w:val="45"/>
        </w:numPr>
      </w:pPr>
      <w:r w:rsidRPr="00803C48">
        <w:t>&gt;</w:t>
      </w:r>
      <w:r w:rsidR="00EC51CF" w:rsidRPr="00803C48">
        <w:t>£500</w:t>
      </w:r>
      <w:r w:rsidR="00540DD4" w:rsidRPr="00803C48">
        <w:t>k</w:t>
      </w:r>
      <w:r w:rsidR="00EC51CF" w:rsidRPr="00803C48">
        <w:t xml:space="preserve"> and </w:t>
      </w:r>
      <w:r w:rsidRPr="00803C48">
        <w:t>&lt;</w:t>
      </w:r>
      <w:r w:rsidR="00EC51CF" w:rsidRPr="00803C48">
        <w:t xml:space="preserve">£5m Chief Executive Officer and the Chief Finance Officer.  </w:t>
      </w:r>
    </w:p>
    <w:p w14:paraId="576594AB" w14:textId="67FA0E61" w:rsidR="00EC51CF" w:rsidRPr="00803C48" w:rsidRDefault="00090076" w:rsidP="0074740C">
      <w:pPr>
        <w:pStyle w:val="Heading3Numbered"/>
        <w:numPr>
          <w:ilvl w:val="0"/>
          <w:numId w:val="45"/>
        </w:numPr>
      </w:pPr>
      <w:r w:rsidRPr="00803C48">
        <w:t>&gt;</w:t>
      </w:r>
      <w:r w:rsidR="00EC51CF" w:rsidRPr="00803C48">
        <w:t xml:space="preserve">£5m the </w:t>
      </w:r>
      <w:r w:rsidR="00540DD4" w:rsidRPr="00803C48">
        <w:t>Board</w:t>
      </w:r>
      <w:r w:rsidR="00EC51CF" w:rsidRPr="00803C48">
        <w:t>.</w:t>
      </w:r>
    </w:p>
    <w:p w14:paraId="2AF20850" w14:textId="369A3ED9" w:rsidR="0020380E" w:rsidRDefault="0020380E" w:rsidP="0070678C">
      <w:pPr>
        <w:pStyle w:val="Heading3Numbered"/>
      </w:pPr>
      <w:r w:rsidRPr="00803C48">
        <w:rPr>
          <w:color w:val="auto"/>
        </w:rPr>
        <w:t xml:space="preserve">Disposals of </w:t>
      </w:r>
      <w:r>
        <w:t xml:space="preserve">surplus assets should be made in accordance with published guidance and should be supported by a business case which should contain an appraisal of the options and benefits of the disposal in the context of the wider public sector and to secure value for money. (see </w:t>
      </w:r>
      <w:r w:rsidR="00697B87">
        <w:t xml:space="preserve">section </w:t>
      </w:r>
      <w:proofErr w:type="gramStart"/>
      <w:r w:rsidR="00250836">
        <w:t>1</w:t>
      </w:r>
      <w:r w:rsidR="00D36878">
        <w:t>4</w:t>
      </w:r>
      <w:r w:rsidR="00250836">
        <w:t>.2</w:t>
      </w:r>
      <w:r w:rsidR="003C5DC7">
        <w:t xml:space="preserve"> </w:t>
      </w:r>
      <w:r>
        <w:t>)</w:t>
      </w:r>
      <w:proofErr w:type="gramEnd"/>
      <w:r w:rsidR="00F37C68">
        <w:t>.</w:t>
      </w:r>
    </w:p>
    <w:p w14:paraId="083DB4D2" w14:textId="2E80CA2A" w:rsidR="003C5DC7" w:rsidRPr="00353739" w:rsidRDefault="00656A16" w:rsidP="00656A16">
      <w:pPr>
        <w:pStyle w:val="Heading2Numbered"/>
        <w:spacing w:before="360"/>
        <w:ind w:left="0"/>
        <w:rPr>
          <w:color w:val="002060"/>
        </w:rPr>
      </w:pPr>
      <w:bookmarkStart w:id="68" w:name="_Toc230249810"/>
      <w:r w:rsidRPr="00353739">
        <w:rPr>
          <w:color w:val="002060"/>
        </w:rPr>
        <w:t>Asset registers</w:t>
      </w:r>
      <w:bookmarkEnd w:id="68"/>
    </w:p>
    <w:p w14:paraId="23EAA86F" w14:textId="508C37AF" w:rsidR="00656A16" w:rsidRDefault="00656A16" w:rsidP="0070678C">
      <w:pPr>
        <w:pStyle w:val="Heading3Numbered"/>
      </w:pPr>
      <w:r w:rsidRPr="00656A16">
        <w:t>The Chief Executive Officer is responsible for the maintenance of registers of assets, taking account of the advice of the Chief Finance Officer concerning the form of any register and the method of updating, and arranging for a physical check of assets against the asset register to be conducted once a year</w:t>
      </w:r>
      <w:r w:rsidR="00090076">
        <w:t>.</w:t>
      </w:r>
    </w:p>
    <w:p w14:paraId="6DE7CAC8" w14:textId="3DC53BB6" w:rsidR="00656A16" w:rsidRDefault="00656A16" w:rsidP="0070678C">
      <w:pPr>
        <w:pStyle w:val="Heading3Numbered"/>
      </w:pPr>
      <w:r w:rsidRPr="00656A16">
        <w:t xml:space="preserve">The </w:t>
      </w:r>
      <w:r w:rsidR="00A2131A">
        <w:t>ICB</w:t>
      </w:r>
      <w:r w:rsidRPr="00656A16">
        <w:t xml:space="preserve"> shall maintain an asset register recording fixed assets.  The minimum data set to be held within these registers shall be as specified in the </w:t>
      </w:r>
      <w:r w:rsidRPr="00F37C68">
        <w:rPr>
          <w:color w:val="auto"/>
        </w:rPr>
        <w:t>Capital Accounting Manual as issued by the Department of Health</w:t>
      </w:r>
      <w:r w:rsidR="00A10769" w:rsidRPr="00F37C68">
        <w:rPr>
          <w:color w:val="auto"/>
        </w:rPr>
        <w:t xml:space="preserve"> and Social Care</w:t>
      </w:r>
      <w:r w:rsidRPr="00F37C68">
        <w:rPr>
          <w:color w:val="auto"/>
        </w:rPr>
        <w:t>.</w:t>
      </w:r>
    </w:p>
    <w:p w14:paraId="10C9F99C" w14:textId="77777777" w:rsidR="00656A16" w:rsidRDefault="00656A16" w:rsidP="0070678C">
      <w:pPr>
        <w:pStyle w:val="Heading3Numbered"/>
      </w:pPr>
      <w:r>
        <w:t>Additions to the fixed asset register must be clearly identified to an appropriate budget holder and be validated by reference to:</w:t>
      </w:r>
    </w:p>
    <w:p w14:paraId="2F798FBE" w14:textId="7615CF77" w:rsidR="00656A16" w:rsidRDefault="00656A16" w:rsidP="0074740C">
      <w:pPr>
        <w:pStyle w:val="Heading3Numbered"/>
        <w:numPr>
          <w:ilvl w:val="0"/>
          <w:numId w:val="46"/>
        </w:numPr>
      </w:pPr>
      <w:r>
        <w:t>properly authorised and approved agreements, architect's certificates, supplier's invoices and other documentary evidence in respect of purchases from third parties;</w:t>
      </w:r>
    </w:p>
    <w:p w14:paraId="658C3D18" w14:textId="4A8919BE" w:rsidR="00656A16" w:rsidRDefault="00656A16" w:rsidP="0074740C">
      <w:pPr>
        <w:pStyle w:val="Heading3Numbered"/>
        <w:numPr>
          <w:ilvl w:val="0"/>
          <w:numId w:val="46"/>
        </w:numPr>
      </w:pPr>
      <w:r>
        <w:t xml:space="preserve">stores, requisitions and wages records for own materials and labour including appropriate overheads; </w:t>
      </w:r>
    </w:p>
    <w:p w14:paraId="0E2E93BC" w14:textId="58BC1811" w:rsidR="00656A16" w:rsidRDefault="00656A16" w:rsidP="0074740C">
      <w:pPr>
        <w:pStyle w:val="Heading3Numbered"/>
        <w:numPr>
          <w:ilvl w:val="0"/>
          <w:numId w:val="46"/>
        </w:numPr>
      </w:pPr>
      <w:r>
        <w:t>lease agreements in respect of assets held under a finance lease and capitalised.</w:t>
      </w:r>
    </w:p>
    <w:p w14:paraId="546D4A5F" w14:textId="128125AA" w:rsidR="00656A16" w:rsidRDefault="00656A16" w:rsidP="0070678C">
      <w:pPr>
        <w:pStyle w:val="Heading3Numbered"/>
      </w:pPr>
      <w:r w:rsidRPr="00656A16">
        <w:lastRenderedPageBreak/>
        <w:t xml:space="preserve">Where capital assets are sold, scrapped, lost or otherwise disposed of, their value must be removed from the accounting </w:t>
      </w:r>
      <w:proofErr w:type="gramStart"/>
      <w:r w:rsidRPr="00656A16">
        <w:t>records</w:t>
      </w:r>
      <w:proofErr w:type="gramEnd"/>
      <w:r w:rsidRPr="00656A16">
        <w:t xml:space="preserve"> and each disposal must be validated by reference to authorisation documents and invoices (where appropriate).</w:t>
      </w:r>
    </w:p>
    <w:p w14:paraId="2D91BCEB" w14:textId="0E7361C1" w:rsidR="00656A16" w:rsidRDefault="00656A16" w:rsidP="0070678C">
      <w:pPr>
        <w:pStyle w:val="Heading3Numbered"/>
      </w:pPr>
      <w:r>
        <w:t>The Chief Finance Officer shall approve procedures for reconciling balances on fixed assets accounts in ledgers against balances on fixed asset registers.</w:t>
      </w:r>
    </w:p>
    <w:p w14:paraId="5D146F1B" w14:textId="245F4A04" w:rsidR="00656A16" w:rsidRDefault="00682FC3" w:rsidP="0070678C">
      <w:pPr>
        <w:pStyle w:val="Heading3Numbered"/>
      </w:pPr>
      <w:r w:rsidRPr="00682FC3">
        <w:t xml:space="preserve">The value of each asset shall be depreciated using methods and rates as </w:t>
      </w:r>
      <w:r w:rsidRPr="00F37C68">
        <w:t>specified in the Capital Accounting Manual issued by the Department of Health</w:t>
      </w:r>
      <w:r w:rsidR="00A10769" w:rsidRPr="00F37C68">
        <w:t xml:space="preserve"> and Social Care</w:t>
      </w:r>
      <w:r w:rsidRPr="00A10769">
        <w:rPr>
          <w:color w:val="FF0000"/>
        </w:rPr>
        <w:t>.</w:t>
      </w:r>
    </w:p>
    <w:p w14:paraId="02CB4EA3" w14:textId="34C38408" w:rsidR="00656A16" w:rsidRPr="00353739" w:rsidRDefault="00656A16" w:rsidP="00656A16">
      <w:pPr>
        <w:pStyle w:val="Heading2Numbered"/>
        <w:spacing w:before="360"/>
        <w:ind w:left="0"/>
        <w:rPr>
          <w:color w:val="002060"/>
        </w:rPr>
      </w:pPr>
      <w:bookmarkStart w:id="69" w:name="_Toc230249811"/>
      <w:r w:rsidRPr="00353739">
        <w:rPr>
          <w:color w:val="002060"/>
        </w:rPr>
        <w:t>Security of assets</w:t>
      </w:r>
      <w:bookmarkEnd w:id="69"/>
    </w:p>
    <w:p w14:paraId="7EAE105D" w14:textId="42D769EE" w:rsidR="00656A16" w:rsidRDefault="00682FC3" w:rsidP="0070678C">
      <w:pPr>
        <w:pStyle w:val="Heading3Numbered"/>
      </w:pPr>
      <w:r>
        <w:t xml:space="preserve">The overall control of fixed assets is the responsibility of the </w:t>
      </w:r>
      <w:r w:rsidRPr="00F37C68">
        <w:rPr>
          <w:color w:val="auto"/>
        </w:rPr>
        <w:t xml:space="preserve">Chief </w:t>
      </w:r>
      <w:r w:rsidR="00090076" w:rsidRPr="00F37C68">
        <w:rPr>
          <w:color w:val="auto"/>
        </w:rPr>
        <w:t xml:space="preserve">Finance </w:t>
      </w:r>
      <w:r>
        <w:t>Officer.</w:t>
      </w:r>
    </w:p>
    <w:p w14:paraId="7EC4012B" w14:textId="4393A640" w:rsidR="00656A16" w:rsidRDefault="00682FC3" w:rsidP="0070678C">
      <w:pPr>
        <w:pStyle w:val="Heading3Numbered"/>
      </w:pPr>
      <w:r>
        <w:t xml:space="preserve">Asset control procedures (including fixed assets, cash, cheques and negotiable instruments, </w:t>
      </w:r>
      <w:proofErr w:type="gramStart"/>
      <w:r>
        <w:t>and also</w:t>
      </w:r>
      <w:proofErr w:type="gramEnd"/>
      <w:r>
        <w:t xml:space="preserve"> including donated assets) must be approved by the Chief Finance Officer.  This procedure shall make provision for:</w:t>
      </w:r>
    </w:p>
    <w:p w14:paraId="1BF2F56F" w14:textId="77777777" w:rsidR="00682FC3" w:rsidRDefault="00682FC3" w:rsidP="0074740C">
      <w:pPr>
        <w:pStyle w:val="BodyText"/>
        <w:numPr>
          <w:ilvl w:val="0"/>
          <w:numId w:val="47"/>
        </w:numPr>
        <w:spacing w:before="120" w:after="240" w:line="240" w:lineRule="auto"/>
        <w:ind w:left="714" w:hanging="357"/>
      </w:pPr>
      <w:r>
        <w:t>recording managerial responsibility for each asset;</w:t>
      </w:r>
    </w:p>
    <w:p w14:paraId="52BE6795" w14:textId="33882C0D" w:rsidR="00682FC3" w:rsidRDefault="00682FC3" w:rsidP="0074740C">
      <w:pPr>
        <w:pStyle w:val="BodyText"/>
        <w:numPr>
          <w:ilvl w:val="0"/>
          <w:numId w:val="47"/>
        </w:numPr>
        <w:spacing w:before="120" w:after="240" w:line="240" w:lineRule="auto"/>
        <w:ind w:left="714" w:hanging="357"/>
      </w:pPr>
      <w:r>
        <w:t>identification of additions and disposals;</w:t>
      </w:r>
    </w:p>
    <w:p w14:paraId="6D98AB2C" w14:textId="364EF05B" w:rsidR="00682FC3" w:rsidRDefault="00682FC3" w:rsidP="0074740C">
      <w:pPr>
        <w:pStyle w:val="BodyText"/>
        <w:numPr>
          <w:ilvl w:val="0"/>
          <w:numId w:val="47"/>
        </w:numPr>
        <w:spacing w:before="120" w:after="240" w:line="240" w:lineRule="auto"/>
        <w:ind w:left="714" w:hanging="357"/>
      </w:pPr>
      <w:r>
        <w:t>identification of all repairs and maintenance expenses;</w:t>
      </w:r>
    </w:p>
    <w:p w14:paraId="14EBB458" w14:textId="3766EC74" w:rsidR="00682FC3" w:rsidRDefault="00682FC3" w:rsidP="0074740C">
      <w:pPr>
        <w:pStyle w:val="BodyText"/>
        <w:numPr>
          <w:ilvl w:val="0"/>
          <w:numId w:val="47"/>
        </w:numPr>
        <w:spacing w:before="120" w:after="240" w:line="240" w:lineRule="auto"/>
        <w:ind w:left="714" w:hanging="357"/>
      </w:pPr>
      <w:r>
        <w:t>physical security of assets;</w:t>
      </w:r>
    </w:p>
    <w:p w14:paraId="3172431A" w14:textId="72FD2720" w:rsidR="00682FC3" w:rsidRDefault="00682FC3" w:rsidP="0074740C">
      <w:pPr>
        <w:pStyle w:val="BodyText"/>
        <w:numPr>
          <w:ilvl w:val="0"/>
          <w:numId w:val="47"/>
        </w:numPr>
        <w:spacing w:before="120" w:after="240" w:line="240" w:lineRule="auto"/>
        <w:ind w:left="714" w:hanging="357"/>
      </w:pPr>
      <w:r>
        <w:t>periodic verification of the existence of, condition of, and title to, assets recorded;</w:t>
      </w:r>
    </w:p>
    <w:p w14:paraId="0784F997" w14:textId="4A4B3805" w:rsidR="00682FC3" w:rsidRDefault="00682FC3" w:rsidP="0074740C">
      <w:pPr>
        <w:pStyle w:val="BodyText"/>
        <w:numPr>
          <w:ilvl w:val="0"/>
          <w:numId w:val="47"/>
        </w:numPr>
        <w:spacing w:before="120" w:after="240" w:line="240" w:lineRule="auto"/>
        <w:ind w:left="714" w:hanging="357"/>
      </w:pPr>
      <w:r>
        <w:t xml:space="preserve">identification and reporting of all costs associated with the retention of an asset; </w:t>
      </w:r>
    </w:p>
    <w:p w14:paraId="25AE7ECA" w14:textId="7D613B67" w:rsidR="00682FC3" w:rsidRDefault="00682FC3" w:rsidP="0074740C">
      <w:pPr>
        <w:pStyle w:val="BodyText"/>
        <w:numPr>
          <w:ilvl w:val="0"/>
          <w:numId w:val="47"/>
        </w:numPr>
        <w:spacing w:before="120" w:after="240" w:line="240" w:lineRule="auto"/>
        <w:ind w:left="714" w:hanging="357"/>
      </w:pPr>
      <w:r>
        <w:t>reporting</w:t>
      </w:r>
    </w:p>
    <w:p w14:paraId="470D0D30" w14:textId="60ADE823" w:rsidR="001E5EB5" w:rsidRDefault="001E5EB5" w:rsidP="0074740C">
      <w:pPr>
        <w:pStyle w:val="BodyText"/>
        <w:numPr>
          <w:ilvl w:val="0"/>
          <w:numId w:val="47"/>
        </w:numPr>
        <w:spacing w:before="120" w:after="240" w:line="240" w:lineRule="auto"/>
        <w:ind w:left="714" w:hanging="357"/>
      </w:pPr>
      <w:r>
        <w:t>Line managers are responsible for arranging the return of assets from individuals at the end of their engagement or employment with the ICB, this includes taking the necessary steps to secure information assets and restrict unauthorised access</w:t>
      </w:r>
    </w:p>
    <w:p w14:paraId="30E5E00C" w14:textId="0D2F0FBF" w:rsidR="00682FC3" w:rsidRDefault="00682FC3" w:rsidP="0070678C">
      <w:pPr>
        <w:pStyle w:val="Heading3Numbered"/>
      </w:pPr>
      <w:r>
        <w:lastRenderedPageBreak/>
        <w:t>.</w:t>
      </w:r>
      <w:r w:rsidRPr="00682FC3">
        <w:t xml:space="preserve"> All discrepancies revealed by verification of physical assets to fixed asset register shall be notified to the Chief Finance Officer.</w:t>
      </w:r>
    </w:p>
    <w:p w14:paraId="2BC96029" w14:textId="28D77E3F" w:rsidR="00682FC3" w:rsidRDefault="00682FC3" w:rsidP="0070678C">
      <w:pPr>
        <w:pStyle w:val="Heading3Numbered"/>
      </w:pPr>
      <w:r w:rsidRPr="00682FC3">
        <w:t xml:space="preserve">Whilst each employee and officer </w:t>
      </w:r>
      <w:r w:rsidR="00EF139A">
        <w:t>have</w:t>
      </w:r>
      <w:r w:rsidRPr="00682FC3">
        <w:t xml:space="preserve"> a responsibility for the security of property of the </w:t>
      </w:r>
      <w:r w:rsidR="00A2131A">
        <w:t>ICB</w:t>
      </w:r>
      <w:r w:rsidRPr="00682FC3">
        <w:t xml:space="preserve">, it is the responsibility of the </w:t>
      </w:r>
      <w:r w:rsidR="00A2131A">
        <w:t>Board</w:t>
      </w:r>
      <w:r w:rsidRPr="00682FC3">
        <w:t xml:space="preserve"> and senior employees in all disciplines to apply such appropriate routine security practices in relation to NHS property as may be determined by the </w:t>
      </w:r>
      <w:r w:rsidR="00A2131A">
        <w:t>Board</w:t>
      </w:r>
      <w:r w:rsidRPr="00682FC3">
        <w:t>.  Any breach of agreed security practices must be reported in accordance with agreed procedures.</w:t>
      </w:r>
    </w:p>
    <w:p w14:paraId="3C9CF4BC" w14:textId="77777777" w:rsidR="00030013" w:rsidRDefault="00030013" w:rsidP="0070678C">
      <w:pPr>
        <w:pStyle w:val="Heading3Numbered"/>
      </w:pPr>
      <w:r w:rsidRPr="00682FC3">
        <w:t xml:space="preserve">Any damage to the </w:t>
      </w:r>
      <w:r>
        <w:t>ICB</w:t>
      </w:r>
      <w:r w:rsidRPr="00682FC3">
        <w:t>’s premises</w:t>
      </w:r>
      <w:r>
        <w:t xml:space="preserve"> </w:t>
      </w:r>
      <w:r w:rsidRPr="00682FC3">
        <w:t>and equipment, or any loss of equipment, stores or supplies must be reported in accordance with the procedure for reporting losses.</w:t>
      </w:r>
    </w:p>
    <w:p w14:paraId="00B9EA43" w14:textId="77777777" w:rsidR="00030013" w:rsidRPr="00656A16" w:rsidRDefault="00030013" w:rsidP="0070678C">
      <w:pPr>
        <w:pStyle w:val="Heading3Numbered"/>
      </w:pPr>
      <w:r w:rsidRPr="00682FC3">
        <w:t xml:space="preserve">Where practical, assets should be marked as </w:t>
      </w:r>
      <w:r>
        <w:t>ICB</w:t>
      </w:r>
      <w:r w:rsidRPr="00682FC3">
        <w:t xml:space="preserve"> property.</w:t>
      </w:r>
    </w:p>
    <w:p w14:paraId="072C56CF" w14:textId="77777777" w:rsidR="00682FC3" w:rsidRPr="00682FC3" w:rsidRDefault="00682FC3" w:rsidP="00682FC3">
      <w:pPr>
        <w:pStyle w:val="BodyText"/>
        <w:spacing w:before="120" w:after="240" w:line="240" w:lineRule="auto"/>
      </w:pPr>
    </w:p>
    <w:p w14:paraId="7DC4F0D1" w14:textId="2F655C62" w:rsidR="0020380E" w:rsidRPr="00582244" w:rsidRDefault="0020380E" w:rsidP="00682FC3">
      <w:pPr>
        <w:pStyle w:val="Heading2Numbered"/>
        <w:spacing w:before="360"/>
        <w:ind w:left="0"/>
        <w:rPr>
          <w:color w:val="002060"/>
        </w:rPr>
      </w:pPr>
      <w:bookmarkStart w:id="70" w:name="_Toc230249812"/>
      <w:r w:rsidRPr="00582244">
        <w:rPr>
          <w:color w:val="002060"/>
        </w:rPr>
        <w:t>Grant</w:t>
      </w:r>
      <w:r w:rsidR="00336585" w:rsidRPr="00582244">
        <w:rPr>
          <w:color w:val="002060"/>
        </w:rPr>
        <w:t xml:space="preserve"> agreements</w:t>
      </w:r>
      <w:bookmarkEnd w:id="70"/>
    </w:p>
    <w:p w14:paraId="1E1A5F77" w14:textId="1272F035" w:rsidR="00336585" w:rsidRPr="00336585" w:rsidRDefault="00336585" w:rsidP="0070678C">
      <w:pPr>
        <w:pStyle w:val="Heading3Numbered"/>
      </w:pPr>
      <w:bookmarkStart w:id="71" w:name="_Hlk180160474"/>
      <w:r>
        <w:t>The Chief Finance Officer is responsible for providing robust management, governance and assurance to the ICB with regards to the use of specific powers under which it can make capital or revenue grants available to;</w:t>
      </w:r>
    </w:p>
    <w:p w14:paraId="74CD23AF" w14:textId="77777777" w:rsidR="00336585" w:rsidRDefault="00336585" w:rsidP="00336585">
      <w:pPr>
        <w:pStyle w:val="BodyText"/>
        <w:numPr>
          <w:ilvl w:val="0"/>
          <w:numId w:val="20"/>
        </w:numPr>
        <w:spacing w:before="120" w:after="240"/>
      </w:pPr>
      <w:r>
        <w:t xml:space="preserve">any of its partner NHS trusts or NHS foundation trusts; and </w:t>
      </w:r>
    </w:p>
    <w:p w14:paraId="7CDEDE0B" w14:textId="77777777" w:rsidR="00336585" w:rsidRPr="00FC02FE" w:rsidRDefault="00336585" w:rsidP="00336585">
      <w:pPr>
        <w:pStyle w:val="BodyText"/>
        <w:numPr>
          <w:ilvl w:val="0"/>
          <w:numId w:val="20"/>
        </w:numPr>
        <w:spacing w:before="120" w:after="240"/>
        <w:rPr>
          <w:color w:val="auto"/>
        </w:rPr>
      </w:pPr>
      <w:r w:rsidRPr="00FC02FE">
        <w:rPr>
          <w:color w:val="auto"/>
        </w:rPr>
        <w:t>to a Local Authority or voluntary organisation, by way of a grant or loan.</w:t>
      </w:r>
    </w:p>
    <w:p w14:paraId="042DB78E" w14:textId="531207FA" w:rsidR="00336585" w:rsidRPr="00FC02FE" w:rsidRDefault="002604A9" w:rsidP="0070678C">
      <w:pPr>
        <w:pStyle w:val="Heading3Numbered"/>
      </w:pPr>
      <w:r w:rsidRPr="00FC02FE">
        <w:rPr>
          <w:rFonts w:eastAsiaTheme="minorEastAsia"/>
        </w:rPr>
        <w:lastRenderedPageBreak/>
        <w:t>The ICB can award g</w:t>
      </w:r>
      <w:r w:rsidR="00336585" w:rsidRPr="00FC02FE">
        <w:rPr>
          <w:rFonts w:eastAsiaTheme="minorEastAsia"/>
        </w:rPr>
        <w:t>rant funding to a voluntary organisation where the ICB supports the activities of that organisation because they complement the services that the ICB commissions (for example, grant funding to contribute to a hospice) or align to the ICB’s statutory functions and strategies.</w:t>
      </w:r>
    </w:p>
    <w:p w14:paraId="44607C3B" w14:textId="49CF3563" w:rsidR="00336585" w:rsidRPr="00FC02FE" w:rsidRDefault="002604A9" w:rsidP="0070678C">
      <w:pPr>
        <w:pStyle w:val="Heading3Numbered"/>
      </w:pPr>
      <w:r w:rsidRPr="00FC02FE">
        <w:rPr>
          <w:rFonts w:eastAsiaTheme="minorEastAsia"/>
        </w:rPr>
        <w:t>B</w:t>
      </w:r>
      <w:r w:rsidR="00336585" w:rsidRPr="00FC02FE">
        <w:rPr>
          <w:rFonts w:eastAsiaTheme="minorEastAsia"/>
        </w:rPr>
        <w:t xml:space="preserve">y awarding </w:t>
      </w:r>
      <w:r w:rsidRPr="00FC02FE">
        <w:rPr>
          <w:rFonts w:eastAsiaTheme="minorEastAsia"/>
        </w:rPr>
        <w:t xml:space="preserve">a </w:t>
      </w:r>
      <w:r w:rsidR="00336585" w:rsidRPr="00FC02FE">
        <w:rPr>
          <w:rFonts w:eastAsiaTheme="minorEastAsia"/>
        </w:rPr>
        <w:t xml:space="preserve">grant </w:t>
      </w:r>
      <w:r w:rsidRPr="00FC02FE">
        <w:rPr>
          <w:rFonts w:eastAsiaTheme="minorEastAsia"/>
        </w:rPr>
        <w:t xml:space="preserve">agreement the ICB is </w:t>
      </w:r>
      <w:r w:rsidR="00336585" w:rsidRPr="00FC02FE">
        <w:rPr>
          <w:rFonts w:eastAsiaTheme="minorEastAsia"/>
        </w:rPr>
        <w:t xml:space="preserve">not commissioning services from the </w:t>
      </w:r>
      <w:r w:rsidRPr="00FC02FE">
        <w:rPr>
          <w:rFonts w:eastAsiaTheme="minorEastAsia"/>
        </w:rPr>
        <w:t>organisation but</w:t>
      </w:r>
      <w:r w:rsidR="00336585" w:rsidRPr="00FC02FE">
        <w:rPr>
          <w:rFonts w:eastAsiaTheme="minorEastAsia"/>
        </w:rPr>
        <w:t xml:space="preserve"> supporting the activities of that organisation: the grant agreement is not a contract for services, and so grant funding does not oblige the recipient to provide services to the ICB and the ICB cannot, through grant funding, compel a body to provide services.</w:t>
      </w:r>
    </w:p>
    <w:p w14:paraId="083C4969" w14:textId="6E8FA9CE" w:rsidR="00336585" w:rsidRPr="00FC02FE" w:rsidRDefault="002604A9" w:rsidP="0070678C">
      <w:pPr>
        <w:pStyle w:val="Heading3Numbered"/>
        <w:rPr>
          <w:rFonts w:eastAsiaTheme="minorEastAsia"/>
        </w:rPr>
      </w:pPr>
      <w:r w:rsidRPr="00FC02FE">
        <w:rPr>
          <w:rFonts w:eastAsiaTheme="minorEastAsia"/>
        </w:rPr>
        <w:t>A grant agreement s</w:t>
      </w:r>
      <w:r w:rsidR="002B0767" w:rsidRPr="00FC02FE">
        <w:rPr>
          <w:rFonts w:eastAsiaTheme="minorEastAsia"/>
        </w:rPr>
        <w:t>hould not be granted on an unconditional basis. The ICB must be assured that any funding will be used strictly for the purposes for which it was given, and that the activities provided by the recipient to those who benefit from its activities are appropriate to receive public funds and is an economic and effective use of resources.</w:t>
      </w:r>
    </w:p>
    <w:p w14:paraId="5AF58C3E" w14:textId="4C42745E" w:rsidR="002604A9" w:rsidRPr="00FC02FE" w:rsidRDefault="002B0767" w:rsidP="0070678C">
      <w:pPr>
        <w:pStyle w:val="Heading3Numbered"/>
      </w:pPr>
      <w:r w:rsidRPr="00FC02FE">
        <w:t xml:space="preserve">The overall responsibility of the grant agreement </w:t>
      </w:r>
      <w:r w:rsidR="002604A9" w:rsidRPr="00FC02FE">
        <w:t xml:space="preserve">is delegated to approved budget holders (section 6).  </w:t>
      </w:r>
      <w:r w:rsidRPr="00FC02FE">
        <w:t xml:space="preserve">The </w:t>
      </w:r>
      <w:r w:rsidR="002604A9" w:rsidRPr="00FC02FE">
        <w:t>delegated budget holder must e</w:t>
      </w:r>
      <w:r w:rsidRPr="00FC02FE">
        <w:t xml:space="preserve">nsure </w:t>
      </w:r>
      <w:r w:rsidR="002604A9" w:rsidRPr="00FC02FE">
        <w:t xml:space="preserve">grant agreements are </w:t>
      </w:r>
      <w:r w:rsidR="00EB0758" w:rsidRPr="00FC02FE">
        <w:t>established</w:t>
      </w:r>
      <w:r w:rsidR="002604A9" w:rsidRPr="00FC02FE">
        <w:t xml:space="preserve"> in line with NHS England guidance on the use of model grant agreements as set out in the ICB’s Grant Agreement</w:t>
      </w:r>
      <w:r w:rsidR="00CD7E76">
        <w:t xml:space="preserve"> arrangements</w:t>
      </w:r>
      <w:r w:rsidR="0005537C">
        <w:rPr>
          <w:rStyle w:val="Hyperlink"/>
          <w:color w:val="FF0000"/>
        </w:rPr>
        <w:t>.</w:t>
      </w:r>
    </w:p>
    <w:bookmarkEnd w:id="71"/>
    <w:p w14:paraId="74F0D724" w14:textId="00F0EEE4" w:rsidR="00250836" w:rsidRDefault="00250836" w:rsidP="0020380E">
      <w:pPr>
        <w:pStyle w:val="BodyText"/>
      </w:pPr>
      <w:r>
        <w:br w:type="page"/>
      </w:r>
    </w:p>
    <w:p w14:paraId="37D13849" w14:textId="5BB60908" w:rsidR="00FB4003" w:rsidRPr="00467368" w:rsidRDefault="00FB4003" w:rsidP="004C1E2A">
      <w:pPr>
        <w:pStyle w:val="Heading1Numbered"/>
        <w:ind w:left="0"/>
        <w:rPr>
          <w:color w:val="002060"/>
          <w:sz w:val="52"/>
          <w:szCs w:val="24"/>
        </w:rPr>
      </w:pPr>
      <w:bookmarkStart w:id="72" w:name="_Toc230249813"/>
      <w:r w:rsidRPr="00467368">
        <w:rPr>
          <w:color w:val="002060"/>
          <w:sz w:val="52"/>
          <w:szCs w:val="24"/>
        </w:rPr>
        <w:lastRenderedPageBreak/>
        <w:t>Losses</w:t>
      </w:r>
      <w:r w:rsidR="0022416A" w:rsidRPr="00467368">
        <w:rPr>
          <w:color w:val="002060"/>
          <w:sz w:val="52"/>
          <w:szCs w:val="24"/>
        </w:rPr>
        <w:t xml:space="preserve">, </w:t>
      </w:r>
      <w:r w:rsidRPr="00467368">
        <w:rPr>
          <w:color w:val="002060"/>
          <w:sz w:val="52"/>
          <w:szCs w:val="24"/>
        </w:rPr>
        <w:t>special payments</w:t>
      </w:r>
      <w:r w:rsidR="0022416A" w:rsidRPr="00467368">
        <w:rPr>
          <w:color w:val="002060"/>
          <w:sz w:val="52"/>
          <w:szCs w:val="24"/>
        </w:rPr>
        <w:t xml:space="preserve"> and disposals</w:t>
      </w:r>
      <w:bookmarkEnd w:id="72"/>
    </w:p>
    <w:p w14:paraId="478F1261" w14:textId="50A16428" w:rsidR="0022416A" w:rsidRPr="00467368" w:rsidRDefault="0022416A" w:rsidP="004C1E2A">
      <w:pPr>
        <w:pStyle w:val="Heading2Numbered"/>
        <w:ind w:left="0"/>
        <w:rPr>
          <w:color w:val="002060"/>
        </w:rPr>
      </w:pPr>
      <w:bookmarkStart w:id="73" w:name="_Toc230249814"/>
      <w:r w:rsidRPr="00467368">
        <w:rPr>
          <w:color w:val="002060"/>
        </w:rPr>
        <w:t>Losses and Special Payments</w:t>
      </w:r>
      <w:bookmarkEnd w:id="73"/>
    </w:p>
    <w:p w14:paraId="77C1E2F7" w14:textId="18E0195E" w:rsidR="00A87609" w:rsidRDefault="00A87609" w:rsidP="0070678C">
      <w:pPr>
        <w:pStyle w:val="Heading3Numbered"/>
      </w:pPr>
      <w:r>
        <w:t xml:space="preserve">HM Treasury approval is required if a transaction </w:t>
      </w:r>
      <w:r w:rsidR="00E15484">
        <w:t xml:space="preserve">exceeds </w:t>
      </w:r>
      <w:r>
        <w:t>the delegated authority, or if transactions w</w:t>
      </w:r>
      <w:r w:rsidR="00C85F1F">
        <w:t>ill</w:t>
      </w:r>
      <w:r>
        <w:t xml:space="preserve"> set </w:t>
      </w:r>
      <w:r w:rsidR="006E3396">
        <w:t xml:space="preserve">a </w:t>
      </w:r>
      <w:r>
        <w:t>precedent, are novel, contentious or could cause repercussions elsewhere in the public sector</w:t>
      </w:r>
      <w:r w:rsidR="00F75CAD">
        <w:t>.</w:t>
      </w:r>
    </w:p>
    <w:p w14:paraId="1ED612E6" w14:textId="019B7A44" w:rsidR="004F6009" w:rsidRDefault="00C85F1F" w:rsidP="0070678C">
      <w:pPr>
        <w:pStyle w:val="Heading3Numbered"/>
      </w:pPr>
      <w:r>
        <w:t xml:space="preserve">The </w:t>
      </w:r>
      <w:r w:rsidR="00220CAE">
        <w:t>Chief Finance Officer</w:t>
      </w:r>
      <w:r>
        <w:t xml:space="preserve"> </w:t>
      </w:r>
      <w:r w:rsidRPr="00FA3B3A">
        <w:t>will</w:t>
      </w:r>
      <w:r w:rsidR="00FA3B3A" w:rsidRPr="00FA3B3A">
        <w:t xml:space="preserve"> support a strong culture of public accountability, probity, and governance, ensuring that appropriate and compliant structures, systems, and process are in place to minimise risk</w:t>
      </w:r>
      <w:r>
        <w:t>s from losses and special payments.</w:t>
      </w:r>
    </w:p>
    <w:p w14:paraId="7DB92C9F" w14:textId="2F0260F7" w:rsidR="00C97CE2" w:rsidRDefault="00250836" w:rsidP="0070678C">
      <w:pPr>
        <w:pStyle w:val="Heading3Numbered"/>
      </w:pPr>
      <w:r>
        <w:t xml:space="preserve">The ICB must act in accordance with the guidance and delegated limits in relation to losses and special payments, as set out in </w:t>
      </w:r>
      <w:r w:rsidR="001F4B8B">
        <w:t>NHS</w:t>
      </w:r>
      <w:r w:rsidR="00FB7FCF">
        <w:t xml:space="preserve"> </w:t>
      </w:r>
      <w:r w:rsidR="001F4B8B">
        <w:t>E</w:t>
      </w:r>
      <w:r w:rsidR="00FB7FCF">
        <w:t xml:space="preserve">ngland </w:t>
      </w:r>
      <w:r w:rsidR="001F4B8B">
        <w:t>guidance.</w:t>
      </w:r>
      <w:r w:rsidR="00AA327B">
        <w:t xml:space="preserve"> </w:t>
      </w:r>
    </w:p>
    <w:p w14:paraId="418F56F5" w14:textId="14075019" w:rsidR="00250836" w:rsidRDefault="00250836" w:rsidP="0070678C">
      <w:pPr>
        <w:pStyle w:val="Heading3Numbered"/>
      </w:pPr>
      <w:r>
        <w:t xml:space="preserve">NHS England has the statutory power to require an integrated care board to provide NHS England with information. </w:t>
      </w:r>
      <w:r w:rsidR="00090076">
        <w:t xml:space="preserve"> </w:t>
      </w:r>
      <w:r>
        <w:t xml:space="preserve">The information, is not limited to losses and special payments, must be provided in such form, and at such time or within such period, as NHS England may require. </w:t>
      </w:r>
    </w:p>
    <w:p w14:paraId="1DA1CF61" w14:textId="21ABD1F1" w:rsidR="004F6009" w:rsidRDefault="00AA327B" w:rsidP="0070678C">
      <w:pPr>
        <w:pStyle w:val="Heading3Numbered"/>
      </w:pPr>
      <w:r>
        <w:t xml:space="preserve">As part of the compliance and control procedures, </w:t>
      </w:r>
      <w:r w:rsidR="00BD160F">
        <w:t xml:space="preserve">ICBs must submit </w:t>
      </w:r>
      <w:r w:rsidR="001027EC">
        <w:t xml:space="preserve">an </w:t>
      </w:r>
      <w:r w:rsidR="00C97CE2">
        <w:t xml:space="preserve">annual </w:t>
      </w:r>
      <w:r w:rsidR="00975B85">
        <w:t>assurance</w:t>
      </w:r>
      <w:r w:rsidR="00C97CE2">
        <w:t xml:space="preserve"> statement</w:t>
      </w:r>
      <w:r w:rsidR="00086D7E">
        <w:t xml:space="preserve"> confirming the following:</w:t>
      </w:r>
    </w:p>
    <w:p w14:paraId="5F2A371D" w14:textId="6E4F5BB6" w:rsidR="000A28E7" w:rsidRDefault="00C47AC9" w:rsidP="00215372">
      <w:pPr>
        <w:pStyle w:val="BodyText"/>
        <w:numPr>
          <w:ilvl w:val="0"/>
          <w:numId w:val="24"/>
        </w:numPr>
      </w:pPr>
      <w:r w:rsidRPr="00C47AC9">
        <w:t xml:space="preserve">details of all exit packages </w:t>
      </w:r>
      <w:r w:rsidR="009474AA">
        <w:t xml:space="preserve">(including special severance payments) </w:t>
      </w:r>
      <w:r w:rsidRPr="00C47AC9">
        <w:t>that have been agreed and/or made during the year</w:t>
      </w:r>
      <w:r>
        <w:t>;</w:t>
      </w:r>
    </w:p>
    <w:p w14:paraId="0AC0ED21" w14:textId="28D7AD15" w:rsidR="000A28E7" w:rsidRDefault="00846FCF" w:rsidP="00215372">
      <w:pPr>
        <w:pStyle w:val="BodyText"/>
        <w:numPr>
          <w:ilvl w:val="0"/>
          <w:numId w:val="24"/>
        </w:numPr>
      </w:pPr>
      <w:r>
        <w:t>that NHS England and HMT approvals have been obtained</w:t>
      </w:r>
      <w:r w:rsidR="00E6572D">
        <w:t xml:space="preserve"> </w:t>
      </w:r>
      <w:r w:rsidR="00E6572D" w:rsidRPr="00E6572D">
        <w:t>before any offers, whether verbally or in writing, are made</w:t>
      </w:r>
      <w:r w:rsidR="00E6572D">
        <w:t>;</w:t>
      </w:r>
      <w:r w:rsidR="00811CAA">
        <w:t xml:space="preserve"> and </w:t>
      </w:r>
    </w:p>
    <w:p w14:paraId="392223A8" w14:textId="245571E3" w:rsidR="00E239ED" w:rsidRDefault="00805895" w:rsidP="00215372">
      <w:pPr>
        <w:pStyle w:val="BodyText"/>
        <w:numPr>
          <w:ilvl w:val="0"/>
          <w:numId w:val="24"/>
        </w:numPr>
      </w:pPr>
      <w:r>
        <w:t>adherence to the special severance payments guidance as publ</w:t>
      </w:r>
      <w:r w:rsidR="00AC73CD">
        <w:t>ished by NHS England</w:t>
      </w:r>
      <w:r w:rsidR="00851563">
        <w:t>.</w:t>
      </w:r>
    </w:p>
    <w:p w14:paraId="49AB57EA" w14:textId="74654892" w:rsidR="00C557F5" w:rsidRPr="00250836" w:rsidRDefault="00C557F5" w:rsidP="0070678C">
      <w:pPr>
        <w:pStyle w:val="Heading3Numbered"/>
      </w:pPr>
      <w:r w:rsidRPr="00250836">
        <w:t xml:space="preserve">All losses and special payments (including special severance payments) must be reported to the ICB </w:t>
      </w:r>
      <w:r w:rsidR="00AB43D1">
        <w:t>Audit Committee</w:t>
      </w:r>
      <w:r w:rsidRPr="00250836">
        <w:t xml:space="preserve"> and NHS England noting that ICBs do not have a delegated limit to approve special payments. </w:t>
      </w:r>
    </w:p>
    <w:p w14:paraId="37B87B73" w14:textId="77777777" w:rsidR="00C557F5" w:rsidRPr="00086D7E" w:rsidRDefault="00C557F5" w:rsidP="00C557F5">
      <w:pPr>
        <w:pStyle w:val="BodyText"/>
      </w:pPr>
    </w:p>
    <w:p w14:paraId="47BFC60F" w14:textId="5CD0812E" w:rsidR="004F6009" w:rsidRDefault="00C85F1F" w:rsidP="0070678C">
      <w:pPr>
        <w:pStyle w:val="Heading3Numbered"/>
      </w:pPr>
      <w:r>
        <w:lastRenderedPageBreak/>
        <w:t xml:space="preserve">For detailed operational guidance on losses and special payments, please refer to the ICB losses and special payment guide. </w:t>
      </w:r>
    </w:p>
    <w:p w14:paraId="118B7401" w14:textId="5B828C10" w:rsidR="007B16B9" w:rsidRDefault="00C557F5" w:rsidP="0070678C">
      <w:pPr>
        <w:pStyle w:val="Heading3Numbered"/>
      </w:pPr>
      <w:r w:rsidRPr="00C557F5">
        <w:t>Any employee or officer discovering or suspecting a loss of any kind must either immediately inform their</w:t>
      </w:r>
      <w:r w:rsidR="00F37C68">
        <w:t xml:space="preserve"> </w:t>
      </w:r>
      <w:r w:rsidR="00916428" w:rsidRPr="00F37C68">
        <w:rPr>
          <w:color w:val="auto"/>
        </w:rPr>
        <w:t>Chief Officer</w:t>
      </w:r>
      <w:r w:rsidRPr="00F37C68">
        <w:rPr>
          <w:color w:val="auto"/>
        </w:rPr>
        <w:t xml:space="preserve"> </w:t>
      </w:r>
      <w:r w:rsidRPr="00C557F5">
        <w:t xml:space="preserve">who must immediately inform the Chief Executive Officer and the Chief Finance Officer or inform an officer charged with responsibility for responding to concerns involving loss.  This officer will then appropriately inform the Chief Finance Officer and/or Chief Executive Officer.  </w:t>
      </w:r>
    </w:p>
    <w:p w14:paraId="4EDB042E" w14:textId="716250C7" w:rsidR="00C557F5" w:rsidRDefault="00C557F5" w:rsidP="0070678C">
      <w:pPr>
        <w:pStyle w:val="Heading3Numbered"/>
      </w:pPr>
      <w:r w:rsidRPr="00C557F5">
        <w:t>Where a criminal offence is suspected, the Chief Finance Officer must immediately inform the police if theft or arson is involved.  In cases of fraud and corruption or of anomalies which may indicate fraud or corruption, the Chief Finance Officer must inform the relevant LCFS and Operational Fraud Team (OFT) in accordance with Secretary of State for Health and Social Care’s Directions.</w:t>
      </w:r>
    </w:p>
    <w:p w14:paraId="49AE63DD" w14:textId="75E12301" w:rsidR="0022416A" w:rsidRPr="003C3483" w:rsidRDefault="0022416A" w:rsidP="00250836">
      <w:pPr>
        <w:pStyle w:val="Heading2Numbered"/>
        <w:spacing w:before="360"/>
        <w:ind w:left="0"/>
        <w:rPr>
          <w:color w:val="002060"/>
        </w:rPr>
      </w:pPr>
      <w:bookmarkStart w:id="74" w:name="_Toc230249815"/>
      <w:r w:rsidRPr="003C3483">
        <w:rPr>
          <w:color w:val="002060"/>
        </w:rPr>
        <w:t>Disposals</w:t>
      </w:r>
      <w:bookmarkEnd w:id="74"/>
    </w:p>
    <w:p w14:paraId="3C97DA00" w14:textId="44029418" w:rsidR="0022416A" w:rsidRDefault="0022416A" w:rsidP="0070678C">
      <w:pPr>
        <w:pStyle w:val="Heading3Numbered"/>
      </w:pPr>
      <w:r>
        <w:t xml:space="preserve">The Chief Finance Officer must prepare detailed procedures for the disposal of assets including </w:t>
      </w:r>
      <w:r w:rsidR="00250836">
        <w:t>condemnations and</w:t>
      </w:r>
      <w:r>
        <w:t xml:space="preserve"> ensure that these are notified to managers.</w:t>
      </w:r>
    </w:p>
    <w:p w14:paraId="2890F2F0" w14:textId="6ED24301" w:rsidR="0022416A" w:rsidRDefault="0022416A" w:rsidP="0070678C">
      <w:pPr>
        <w:pStyle w:val="Heading3Numbered"/>
      </w:pPr>
      <w:r>
        <w:t xml:space="preserve">When it is decided to dispose of a ICB asset, </w:t>
      </w:r>
      <w:r w:rsidRPr="00F37C68">
        <w:rPr>
          <w:color w:val="auto"/>
        </w:rPr>
        <w:t>the</w:t>
      </w:r>
      <w:r w:rsidR="00F37C68" w:rsidRPr="00F37C68">
        <w:rPr>
          <w:color w:val="auto"/>
        </w:rPr>
        <w:t>ir</w:t>
      </w:r>
      <w:r w:rsidR="00F37C68">
        <w:rPr>
          <w:color w:val="auto"/>
        </w:rPr>
        <w:t xml:space="preserve"> </w:t>
      </w:r>
      <w:r w:rsidR="00916428" w:rsidRPr="00F37C68">
        <w:rPr>
          <w:color w:val="auto"/>
        </w:rPr>
        <w:t>Chief Officer</w:t>
      </w:r>
      <w:r w:rsidR="005422F1" w:rsidRPr="00F37C68">
        <w:rPr>
          <w:color w:val="auto"/>
        </w:rPr>
        <w:t xml:space="preserve"> </w:t>
      </w:r>
      <w:r>
        <w:t>or authorised deputy will determine and advise the Chief Finance Officer of the estimated market value of the item, taking account of professional advice where appropriate.</w:t>
      </w:r>
    </w:p>
    <w:p w14:paraId="25534CB3" w14:textId="2B495E0C" w:rsidR="0022416A" w:rsidRDefault="0022416A" w:rsidP="0070678C">
      <w:pPr>
        <w:pStyle w:val="Heading3Numbered"/>
      </w:pPr>
      <w:r>
        <w:t>All unserviceable articles shall be</w:t>
      </w:r>
      <w:r w:rsidR="005B62F2">
        <w:t xml:space="preserve"> </w:t>
      </w:r>
      <w:r w:rsidR="005B62F2" w:rsidRPr="00FC02FE">
        <w:t>condemned or otherwise disposed of by those duly authorised for that purpose by the Chief Finance Officer</w:t>
      </w:r>
      <w:r w:rsidR="003C3483">
        <w:t>.</w:t>
      </w:r>
    </w:p>
    <w:p w14:paraId="53314A1C" w14:textId="2F85FCF1" w:rsidR="0022416A" w:rsidRDefault="0022416A" w:rsidP="0070678C">
      <w:pPr>
        <w:pStyle w:val="Heading3Numbered"/>
      </w:pPr>
      <w:r>
        <w:t xml:space="preserve">The Condemning Officer shall satisfy </w:t>
      </w:r>
      <w:r w:rsidR="005B62F2" w:rsidRPr="00FC02FE">
        <w:rPr>
          <w:color w:val="auto"/>
        </w:rPr>
        <w:t xml:space="preserve">themselves </w:t>
      </w:r>
      <w:r>
        <w:t>as to whether there is evidence of negligence in use and shall report any such evidence to the Chief Finance Officer who will take the appropriate action.</w:t>
      </w:r>
    </w:p>
    <w:p w14:paraId="655C7670" w14:textId="1FBA806E" w:rsidR="0022416A" w:rsidRPr="00512864" w:rsidRDefault="0022416A" w:rsidP="0070678C">
      <w:pPr>
        <w:pStyle w:val="Heading3Numbered"/>
      </w:pPr>
      <w:r>
        <w:t xml:space="preserve">All property or land disposals will require approval by the </w:t>
      </w:r>
      <w:r w:rsidR="0032611D">
        <w:t xml:space="preserve">Board </w:t>
      </w:r>
      <w:r>
        <w:br w:type="page"/>
      </w:r>
    </w:p>
    <w:p w14:paraId="4E542FCA" w14:textId="2FEB2DDE" w:rsidR="00682855" w:rsidRPr="003C3483" w:rsidRDefault="00682855" w:rsidP="004C1E2A">
      <w:pPr>
        <w:pStyle w:val="Heading1Numbered"/>
        <w:ind w:left="142"/>
        <w:rPr>
          <w:color w:val="002060"/>
          <w:sz w:val="56"/>
          <w:szCs w:val="28"/>
        </w:rPr>
      </w:pPr>
      <w:bookmarkStart w:id="75" w:name="_Toc230249816"/>
      <w:r w:rsidRPr="003C3483">
        <w:rPr>
          <w:color w:val="002060"/>
          <w:sz w:val="56"/>
          <w:szCs w:val="28"/>
        </w:rPr>
        <w:lastRenderedPageBreak/>
        <w:t>Fraud</w:t>
      </w:r>
      <w:r w:rsidR="00FF2800" w:rsidRPr="003C3483">
        <w:rPr>
          <w:color w:val="002060"/>
          <w:sz w:val="56"/>
          <w:szCs w:val="28"/>
        </w:rPr>
        <w:t xml:space="preserve">, </w:t>
      </w:r>
      <w:r w:rsidR="00666B18" w:rsidRPr="003C3483">
        <w:rPr>
          <w:color w:val="002060"/>
          <w:sz w:val="56"/>
          <w:szCs w:val="28"/>
        </w:rPr>
        <w:t>bribery and corruption</w:t>
      </w:r>
      <w:r w:rsidRPr="003C3483">
        <w:rPr>
          <w:color w:val="002060"/>
          <w:sz w:val="56"/>
          <w:szCs w:val="28"/>
        </w:rPr>
        <w:t xml:space="preserve"> </w:t>
      </w:r>
      <w:r w:rsidR="00E54F6D" w:rsidRPr="003C3483">
        <w:rPr>
          <w:color w:val="002060"/>
          <w:sz w:val="52"/>
          <w:szCs w:val="52"/>
        </w:rPr>
        <w:t>(Economic crime)</w:t>
      </w:r>
      <w:bookmarkEnd w:id="75"/>
      <w:r w:rsidR="00E54F6D" w:rsidRPr="003C3483">
        <w:rPr>
          <w:color w:val="002060"/>
          <w:sz w:val="52"/>
          <w:szCs w:val="52"/>
        </w:rPr>
        <w:t xml:space="preserve"> </w:t>
      </w:r>
    </w:p>
    <w:p w14:paraId="6095F07C" w14:textId="26E8AB21" w:rsidR="00C557F5" w:rsidRPr="003C3483" w:rsidRDefault="00C557F5" w:rsidP="00C557F5">
      <w:pPr>
        <w:pStyle w:val="Heading2Numbered"/>
        <w:spacing w:before="360"/>
        <w:ind w:left="0"/>
        <w:rPr>
          <w:color w:val="002060"/>
        </w:rPr>
      </w:pPr>
      <w:bookmarkStart w:id="76" w:name="_Toc230249817"/>
      <w:r w:rsidRPr="003C3483">
        <w:rPr>
          <w:color w:val="002060"/>
        </w:rPr>
        <w:t>Overview</w:t>
      </w:r>
      <w:bookmarkEnd w:id="76"/>
    </w:p>
    <w:p w14:paraId="0B2C294A" w14:textId="1C402A96" w:rsidR="004C1E2A" w:rsidRDefault="004C1E2A" w:rsidP="0070678C">
      <w:pPr>
        <w:pStyle w:val="Heading3Numbered"/>
      </w:pPr>
      <w:r>
        <w:t>The ICB is committed to identifying, investigating and preventing economic crime</w:t>
      </w:r>
      <w:r w:rsidR="005422F1">
        <w:t>.</w:t>
      </w:r>
    </w:p>
    <w:p w14:paraId="536081C1" w14:textId="17313FDA" w:rsidR="004C1E2A" w:rsidRDefault="004C1E2A" w:rsidP="0070678C">
      <w:pPr>
        <w:pStyle w:val="Heading3Numbered"/>
      </w:pPr>
      <w:r>
        <w:t xml:space="preserve">The ICB </w:t>
      </w:r>
      <w:r w:rsidR="00220CAE">
        <w:t>Chief Finance Officer</w:t>
      </w:r>
      <w:r>
        <w:t xml:space="preserve"> is responsible for ensuring appropriate arrangements are in place </w:t>
      </w:r>
      <w:r w:rsidRPr="00DD4A23">
        <w:rPr>
          <w:color w:val="231F20" w:themeColor="text1"/>
        </w:rPr>
        <w:t xml:space="preserve">to provide adequate counter fraud provision which should include reporting requirements to the </w:t>
      </w:r>
      <w:r w:rsidR="00B6612B">
        <w:rPr>
          <w:color w:val="231F20" w:themeColor="text1"/>
        </w:rPr>
        <w:t>B</w:t>
      </w:r>
      <w:r w:rsidRPr="00DD4A23">
        <w:rPr>
          <w:color w:val="231F20" w:themeColor="text1"/>
        </w:rPr>
        <w:t xml:space="preserve">oard and audit committee, and </w:t>
      </w:r>
      <w:r w:rsidRPr="008F5727">
        <w:t>defined roles</w:t>
      </w:r>
      <w:r>
        <w:t xml:space="preserve"> and accountabilities for those involved as part of the process of providing assurance to the </w:t>
      </w:r>
      <w:r w:rsidR="00B6612B">
        <w:t>B</w:t>
      </w:r>
      <w:r>
        <w:t xml:space="preserve">oard.  These arrangements should comply with the NHS Requirements the </w:t>
      </w:r>
      <w:hyperlink r:id="rId22" w:history="1">
        <w:r w:rsidRPr="001E648E">
          <w:rPr>
            <w:rStyle w:val="Hyperlink"/>
            <w:rFonts w:cs="Arial"/>
          </w:rPr>
          <w:t>Government Functional Standard 013 Counter Fraud</w:t>
        </w:r>
      </w:hyperlink>
      <w:r w:rsidRPr="001E648E">
        <w:t xml:space="preserve"> as</w:t>
      </w:r>
      <w:r>
        <w:t xml:space="preserve"> issued by NHS Counter Fraud Authority and any guidance issued by NHS England and NHS Improvement</w:t>
      </w:r>
      <w:r w:rsidR="00C557F5">
        <w:t>.</w:t>
      </w:r>
    </w:p>
    <w:p w14:paraId="02560C93" w14:textId="43D49BC6" w:rsidR="003C3483" w:rsidRPr="003C3483" w:rsidRDefault="003C3483" w:rsidP="00BB6325">
      <w:pPr>
        <w:pStyle w:val="Heading3Numbered"/>
      </w:pPr>
      <w:r w:rsidRPr="003C3483">
        <w:t>The CFO shall nominate a suitable person to carry out the duties of the Local Counter Fraud Specialist (LCFS) as specified by the NHS Counter Fraud Authority guidance</w:t>
      </w:r>
    </w:p>
    <w:p w14:paraId="75445B16" w14:textId="6BBA1035" w:rsidR="00C557F5" w:rsidRPr="003C3483" w:rsidRDefault="00C557F5" w:rsidP="00C557F5">
      <w:pPr>
        <w:pStyle w:val="Heading2Numbered"/>
        <w:spacing w:before="360"/>
        <w:ind w:left="0"/>
        <w:rPr>
          <w:color w:val="002060"/>
        </w:rPr>
      </w:pPr>
      <w:bookmarkStart w:id="77" w:name="_Toc230249818"/>
      <w:r w:rsidRPr="003C3483">
        <w:rPr>
          <w:color w:val="002060"/>
        </w:rPr>
        <w:t>Suspected fraud</w:t>
      </w:r>
      <w:bookmarkEnd w:id="77"/>
    </w:p>
    <w:p w14:paraId="250C477F" w14:textId="5A959939" w:rsidR="00C557F5" w:rsidRDefault="00C557F5" w:rsidP="0070678C">
      <w:pPr>
        <w:pStyle w:val="Heading3Numbered"/>
      </w:pPr>
      <w:r>
        <w:rPr>
          <w:color w:val="000000"/>
        </w:rPr>
        <w:t xml:space="preserve">The Chief </w:t>
      </w:r>
      <w:r w:rsidRPr="00F37C68">
        <w:t>Finance Officer must notify the NHS C</w:t>
      </w:r>
      <w:r w:rsidR="005422F1" w:rsidRPr="00F37C68">
        <w:t xml:space="preserve">ounter </w:t>
      </w:r>
      <w:r w:rsidRPr="00F37C68">
        <w:t>F</w:t>
      </w:r>
      <w:r w:rsidR="005422F1" w:rsidRPr="00F37C68">
        <w:t xml:space="preserve">raud </w:t>
      </w:r>
      <w:r w:rsidR="004468F8" w:rsidRPr="00F37C68">
        <w:t xml:space="preserve">Authority </w:t>
      </w:r>
      <w:r w:rsidR="005422F1" w:rsidRPr="00F37C68">
        <w:t>(NHS CF</w:t>
      </w:r>
      <w:r w:rsidR="004468F8" w:rsidRPr="00F37C68">
        <w:t>A</w:t>
      </w:r>
      <w:r w:rsidR="005422F1" w:rsidRPr="00F37C68">
        <w:t>)</w:t>
      </w:r>
      <w:r w:rsidR="004468F8" w:rsidRPr="00F37C68">
        <w:t xml:space="preserve">, normally via the Local Counter Fraud Specialist (LCFS) </w:t>
      </w:r>
      <w:r w:rsidRPr="00F37C68">
        <w:t>and the External Auditor of all frauds</w:t>
      </w:r>
      <w:r w:rsidR="00F37C68" w:rsidRPr="00F37C68">
        <w:t>.</w:t>
      </w:r>
    </w:p>
    <w:p w14:paraId="0507ED0F" w14:textId="06D030F1" w:rsidR="003273B5" w:rsidRDefault="003273B5" w:rsidP="0070678C">
      <w:pPr>
        <w:pStyle w:val="Heading3Numbered"/>
      </w:pPr>
      <w:r>
        <w:t xml:space="preserve">For losses apparently caused by theft, arson, neglect of duty or gross carelessness, except if trivial, the Chief Finance Officer must immediately notify: </w:t>
      </w:r>
    </w:p>
    <w:p w14:paraId="1C1E1212" w14:textId="0D28500B" w:rsidR="003273B5" w:rsidRDefault="003273B5" w:rsidP="0074740C">
      <w:pPr>
        <w:pStyle w:val="Heading3Numbered"/>
        <w:numPr>
          <w:ilvl w:val="0"/>
          <w:numId w:val="48"/>
        </w:numPr>
      </w:pPr>
      <w:r>
        <w:t>the Board, and</w:t>
      </w:r>
    </w:p>
    <w:p w14:paraId="3B9D895E" w14:textId="48A80A2A" w:rsidR="00C557F5" w:rsidRPr="00C557F5" w:rsidRDefault="003273B5" w:rsidP="0074740C">
      <w:pPr>
        <w:pStyle w:val="Heading3Numbered"/>
        <w:numPr>
          <w:ilvl w:val="0"/>
          <w:numId w:val="48"/>
        </w:numPr>
      </w:pPr>
      <w:r>
        <w:t>the External Auditor.</w:t>
      </w:r>
    </w:p>
    <w:p w14:paraId="60ECE918" w14:textId="57AFD0C9" w:rsidR="00C557F5" w:rsidRPr="00C557F5" w:rsidRDefault="003273B5" w:rsidP="0070678C">
      <w:pPr>
        <w:pStyle w:val="Heading3Numbered"/>
      </w:pPr>
      <w:r w:rsidRPr="003273B5">
        <w:t xml:space="preserve">Within limits delegated to it by the Department </w:t>
      </w:r>
      <w:r w:rsidRPr="00F37C68">
        <w:rPr>
          <w:color w:val="auto"/>
        </w:rPr>
        <w:t>of Health</w:t>
      </w:r>
      <w:r w:rsidR="00A10769" w:rsidRPr="00F37C68">
        <w:rPr>
          <w:color w:val="auto"/>
        </w:rPr>
        <w:t xml:space="preserve"> and Social Care</w:t>
      </w:r>
      <w:r w:rsidRPr="00F37C68">
        <w:rPr>
          <w:color w:val="auto"/>
        </w:rPr>
        <w:t xml:space="preserve">, </w:t>
      </w:r>
      <w:r w:rsidRPr="003273B5">
        <w:t xml:space="preserve">the </w:t>
      </w:r>
      <w:r w:rsidR="00A2131A">
        <w:t>Board</w:t>
      </w:r>
      <w:r w:rsidRPr="003273B5">
        <w:t xml:space="preserve"> shall approve the writing-off of losses.</w:t>
      </w:r>
    </w:p>
    <w:p w14:paraId="4165CA36" w14:textId="7DE66FC1" w:rsidR="00C557F5" w:rsidRPr="00C557F5" w:rsidRDefault="003273B5" w:rsidP="0070678C">
      <w:pPr>
        <w:pStyle w:val="Heading3Numbered"/>
      </w:pPr>
      <w:r w:rsidRPr="003273B5">
        <w:t xml:space="preserve">The Chief Finance Officer shall be authorised to take any necessary steps to safeguard the </w:t>
      </w:r>
      <w:r w:rsidR="00A2131A">
        <w:t>ICB</w:t>
      </w:r>
      <w:r w:rsidRPr="003273B5">
        <w:t>'s interests in bankruptcies and company liquidations.</w:t>
      </w:r>
    </w:p>
    <w:p w14:paraId="1123B73E" w14:textId="5F59A434" w:rsidR="003273B5" w:rsidRPr="00C557F5" w:rsidRDefault="003C3483" w:rsidP="0070678C">
      <w:pPr>
        <w:pStyle w:val="Heading3Numbered"/>
      </w:pPr>
      <w:r>
        <w:t>A</w:t>
      </w:r>
      <w:r w:rsidR="003273B5" w:rsidRPr="003273B5">
        <w:t xml:space="preserve"> Losses and Special Payments Register </w:t>
      </w:r>
      <w:r>
        <w:t xml:space="preserve">will be maintained </w:t>
      </w:r>
      <w:r w:rsidR="003273B5" w:rsidRPr="003273B5">
        <w:t>in which write-off action is recorded.</w:t>
      </w:r>
    </w:p>
    <w:p w14:paraId="56E8A22A" w14:textId="0265C8D9" w:rsidR="003273B5" w:rsidRDefault="003273B5" w:rsidP="0070678C">
      <w:pPr>
        <w:pStyle w:val="Heading3Numbered"/>
      </w:pPr>
      <w:r w:rsidRPr="003273B5">
        <w:lastRenderedPageBreak/>
        <w:t xml:space="preserve">All losses and special payments must be reported to the </w:t>
      </w:r>
      <w:r w:rsidR="00AB43D1">
        <w:t>Audit Committee</w:t>
      </w:r>
      <w:r w:rsidRPr="003273B5">
        <w:t xml:space="preserve"> at every meeting.</w:t>
      </w:r>
    </w:p>
    <w:p w14:paraId="6BF751AF" w14:textId="69A78811" w:rsidR="003273B5" w:rsidRPr="003C3483" w:rsidRDefault="007114C0" w:rsidP="003273B5">
      <w:pPr>
        <w:pStyle w:val="Heading1Numbered"/>
        <w:ind w:left="0"/>
        <w:rPr>
          <w:color w:val="002060"/>
          <w:sz w:val="56"/>
          <w:szCs w:val="28"/>
        </w:rPr>
      </w:pPr>
      <w:bookmarkStart w:id="78" w:name="_Toc230249819"/>
      <w:r w:rsidRPr="003C3483">
        <w:rPr>
          <w:color w:val="002060"/>
          <w:sz w:val="56"/>
          <w:szCs w:val="28"/>
        </w:rPr>
        <w:t>Digital</w:t>
      </w:r>
      <w:r w:rsidR="00CA4D8E" w:rsidRPr="003C3483">
        <w:rPr>
          <w:color w:val="002060"/>
          <w:sz w:val="56"/>
          <w:szCs w:val="28"/>
        </w:rPr>
        <w:t xml:space="preserve"> Financial </w:t>
      </w:r>
      <w:r w:rsidR="00B24280" w:rsidRPr="003C3483">
        <w:rPr>
          <w:color w:val="002060"/>
          <w:sz w:val="56"/>
          <w:szCs w:val="28"/>
        </w:rPr>
        <w:t>d</w:t>
      </w:r>
      <w:r w:rsidR="00CA4D8E" w:rsidRPr="003C3483">
        <w:rPr>
          <w:color w:val="002060"/>
          <w:sz w:val="56"/>
          <w:szCs w:val="28"/>
        </w:rPr>
        <w:t>ata</w:t>
      </w:r>
      <w:bookmarkEnd w:id="78"/>
    </w:p>
    <w:p w14:paraId="760BD092" w14:textId="347F2299" w:rsidR="00C90E18" w:rsidRPr="003C3483" w:rsidRDefault="00C90E18" w:rsidP="00C90E18">
      <w:pPr>
        <w:pStyle w:val="Heading2Numbered"/>
        <w:spacing w:before="360"/>
        <w:ind w:left="0"/>
        <w:rPr>
          <w:color w:val="002060"/>
        </w:rPr>
      </w:pPr>
      <w:bookmarkStart w:id="79" w:name="_Toc230249820"/>
      <w:r w:rsidRPr="003C3483">
        <w:rPr>
          <w:color w:val="002060"/>
        </w:rPr>
        <w:t>Responsibilities and duties of the Chief Finance Officer</w:t>
      </w:r>
      <w:bookmarkEnd w:id="79"/>
    </w:p>
    <w:p w14:paraId="093444E9" w14:textId="21A69172" w:rsidR="00C90E18" w:rsidRDefault="00141059" w:rsidP="0070678C">
      <w:pPr>
        <w:pStyle w:val="Heading3Numbered"/>
      </w:pPr>
      <w:r w:rsidRPr="00141059">
        <w:t xml:space="preserve">The Chief Finance Officer is responsible for the </w:t>
      </w:r>
      <w:r w:rsidR="0066362B" w:rsidRPr="00F37C68">
        <w:rPr>
          <w:color w:val="auto"/>
        </w:rPr>
        <w:t>confidentiality</w:t>
      </w:r>
      <w:r w:rsidR="00EF139A">
        <w:rPr>
          <w:color w:val="auto"/>
        </w:rPr>
        <w:t>,</w:t>
      </w:r>
      <w:r w:rsidR="0066362B">
        <w:rPr>
          <w:color w:val="FF0000"/>
        </w:rPr>
        <w:t xml:space="preserve"> </w:t>
      </w:r>
      <w:r w:rsidRPr="00141059">
        <w:t xml:space="preserve">accuracy and security of the computerised financial data of the </w:t>
      </w:r>
      <w:r w:rsidR="00A2131A">
        <w:t>ICB</w:t>
      </w:r>
      <w:r w:rsidRPr="00141059">
        <w:t xml:space="preserve"> whether this is in house or hosted in an outsourced arrangement, and shall:</w:t>
      </w:r>
    </w:p>
    <w:p w14:paraId="432B8D90" w14:textId="0FE6AC13" w:rsidR="00141059" w:rsidRDefault="00141059" w:rsidP="0074740C">
      <w:pPr>
        <w:pStyle w:val="BodyText"/>
        <w:numPr>
          <w:ilvl w:val="0"/>
          <w:numId w:val="51"/>
        </w:numPr>
        <w:spacing w:before="120" w:after="240" w:line="240" w:lineRule="auto"/>
        <w:ind w:left="714" w:hanging="357"/>
      </w:pPr>
      <w:r>
        <w:t xml:space="preserve">devise and implement any necessary procedures to ensure protection of the </w:t>
      </w:r>
      <w:r w:rsidR="00A2131A">
        <w:t>ICB</w:t>
      </w:r>
      <w:r>
        <w:t xml:space="preserve">'s data, programs and computer hardware for which the Chief Finance Officer is responsible from accidental or intentional disclosure to </w:t>
      </w:r>
      <w:r w:rsidRPr="00F37C68">
        <w:rPr>
          <w:color w:val="auto"/>
        </w:rPr>
        <w:t xml:space="preserve">unauthorised persons, deletion or modification, theft or damage, having due regard for </w:t>
      </w:r>
      <w:r w:rsidR="00F37C68" w:rsidRPr="00F37C68">
        <w:rPr>
          <w:color w:val="auto"/>
        </w:rPr>
        <w:t>th</w:t>
      </w:r>
      <w:r w:rsidR="00F37C68">
        <w:rPr>
          <w:color w:val="auto"/>
        </w:rPr>
        <w:t>e</w:t>
      </w:r>
      <w:r w:rsidR="00F37C68" w:rsidRPr="00F37C68">
        <w:rPr>
          <w:color w:val="auto"/>
        </w:rPr>
        <w:t xml:space="preserve"> UK</w:t>
      </w:r>
      <w:r w:rsidR="0066362B" w:rsidRPr="00F37C68">
        <w:rPr>
          <w:color w:val="auto"/>
        </w:rPr>
        <w:t xml:space="preserve"> Data Protection legislation (Date Protection Act 2018 and UK GDPR)</w:t>
      </w:r>
      <w:r w:rsidR="00EF139A">
        <w:rPr>
          <w:color w:val="auto"/>
        </w:rPr>
        <w:t>;</w:t>
      </w:r>
    </w:p>
    <w:p w14:paraId="7D5C8568" w14:textId="793BFD12" w:rsidR="0066362B" w:rsidRPr="00F37C68" w:rsidRDefault="00EF139A" w:rsidP="0074740C">
      <w:pPr>
        <w:pStyle w:val="BodyText"/>
        <w:numPr>
          <w:ilvl w:val="0"/>
          <w:numId w:val="51"/>
        </w:numPr>
        <w:spacing w:before="120" w:after="240" w:line="240" w:lineRule="auto"/>
        <w:ind w:left="714" w:hanging="357"/>
        <w:rPr>
          <w:color w:val="auto"/>
        </w:rPr>
      </w:pPr>
      <w:r>
        <w:rPr>
          <w:color w:val="auto"/>
        </w:rPr>
        <w:t>e</w:t>
      </w:r>
      <w:r w:rsidR="0066362B" w:rsidRPr="00F37C68">
        <w:rPr>
          <w:color w:val="auto"/>
        </w:rPr>
        <w:t>nsure that users are adequately trained on finance systems</w:t>
      </w:r>
    </w:p>
    <w:p w14:paraId="78E2A4DD" w14:textId="1501B3D4" w:rsidR="00141059" w:rsidRDefault="00141059" w:rsidP="0074740C">
      <w:pPr>
        <w:pStyle w:val="BodyText"/>
        <w:numPr>
          <w:ilvl w:val="0"/>
          <w:numId w:val="51"/>
        </w:numPr>
        <w:spacing w:before="120" w:after="240" w:line="240" w:lineRule="auto"/>
        <w:ind w:left="714" w:hanging="357"/>
      </w:pPr>
      <w:r>
        <w:t>ensure that reasonable controls exist over data entry, processing, storage, transmission and output to ensure security, privacy, accuracy, completeness, and timeliness of the data, as well as the efficient and effective operation of the system;</w:t>
      </w:r>
    </w:p>
    <w:p w14:paraId="29DBA8D3" w14:textId="4168D74C" w:rsidR="00141059" w:rsidRDefault="00141059" w:rsidP="0074740C">
      <w:pPr>
        <w:pStyle w:val="BodyText"/>
        <w:numPr>
          <w:ilvl w:val="0"/>
          <w:numId w:val="51"/>
        </w:numPr>
        <w:spacing w:before="120" w:after="240" w:line="240" w:lineRule="auto"/>
        <w:ind w:left="714" w:hanging="357"/>
      </w:pPr>
      <w:r>
        <w:t>ensure that adequate controls exist such that the computer operation is separated from development, maintenance and amendment;</w:t>
      </w:r>
    </w:p>
    <w:p w14:paraId="0F4863DA" w14:textId="6B27AA36" w:rsidR="00141059" w:rsidRDefault="00141059" w:rsidP="0074740C">
      <w:pPr>
        <w:pStyle w:val="BodyText"/>
        <w:numPr>
          <w:ilvl w:val="0"/>
          <w:numId w:val="51"/>
        </w:numPr>
        <w:spacing w:before="120" w:after="240" w:line="240" w:lineRule="auto"/>
        <w:ind w:left="714" w:hanging="357"/>
      </w:pPr>
      <w:r>
        <w:t>ensure that an adequate management (audit) trail exists through the computerised system and that such computer audit reviews as the Chief Finance Officer may consider</w:t>
      </w:r>
      <w:r w:rsidR="00BE17B0">
        <w:t xml:space="preserve"> necessary are undertaken</w:t>
      </w:r>
      <w:r w:rsidR="00030013">
        <w:t>.</w:t>
      </w:r>
    </w:p>
    <w:p w14:paraId="3B7EE70B" w14:textId="1AB0537D" w:rsidR="002B5C82" w:rsidRPr="00030013" w:rsidRDefault="002B5C82" w:rsidP="00030013">
      <w:pPr>
        <w:pStyle w:val="BodyText"/>
        <w:spacing w:before="120" w:after="240" w:line="240" w:lineRule="auto"/>
        <w:ind w:left="142"/>
        <w:rPr>
          <w:i/>
          <w:iCs/>
          <w:color w:val="auto"/>
        </w:rPr>
      </w:pPr>
      <w:r w:rsidRPr="00030013">
        <w:rPr>
          <w:i/>
          <w:iCs/>
          <w:color w:val="auto"/>
        </w:rPr>
        <w:t>Please also refer to section 5 – Financial systems and processes.</w:t>
      </w:r>
    </w:p>
    <w:p w14:paraId="096BB981" w14:textId="1D89D1EF" w:rsidR="00C90E18" w:rsidRPr="00F37C68" w:rsidRDefault="00C90E18" w:rsidP="0070678C">
      <w:pPr>
        <w:pStyle w:val="Heading3Numbered"/>
      </w:pPr>
      <w:r w:rsidRPr="00C90E18">
        <w:lastRenderedPageBreak/>
        <w:t xml:space="preserve">The Chief Finance Officer shall ensure that new financial systems and </w:t>
      </w:r>
      <w:r w:rsidRPr="00F37C68">
        <w:t>amendments to current financial systems are developed in a controlled manner</w:t>
      </w:r>
      <w:r w:rsidR="0066362B" w:rsidRPr="00F37C68">
        <w:t xml:space="preserve">.  Information Governance assurance is </w:t>
      </w:r>
      <w:r w:rsidR="00F37C68" w:rsidRPr="00F37C68">
        <w:t>confirmed,</w:t>
      </w:r>
      <w:r w:rsidR="0066362B" w:rsidRPr="00F37C68">
        <w:t xml:space="preserve"> </w:t>
      </w:r>
      <w:r w:rsidRPr="00F37C68">
        <w:t xml:space="preserve">and </w:t>
      </w:r>
      <w:r w:rsidR="0066362B" w:rsidRPr="00F37C68">
        <w:t xml:space="preserve">the system is </w:t>
      </w:r>
      <w:r w:rsidRPr="00F37C68">
        <w:t>thoroughly tested prior to implementation.  Where this is undertaken by another organisation, assurances of adequacy must be obtained from them prior to implementation.</w:t>
      </w:r>
    </w:p>
    <w:p w14:paraId="29594E85" w14:textId="01EE914E" w:rsidR="00C90E18" w:rsidRPr="00F37C68" w:rsidRDefault="00C90E18" w:rsidP="0070678C">
      <w:pPr>
        <w:pStyle w:val="Heading3Numbered"/>
      </w:pPr>
      <w:r w:rsidRPr="00F37C68">
        <w:t xml:space="preserve">The </w:t>
      </w:r>
      <w:r w:rsidR="003C3483">
        <w:t>Corporate Services Department</w:t>
      </w:r>
      <w:r w:rsidRPr="00F37C68">
        <w:t xml:space="preserve"> shall publish and maintain a Freedom of Information (FOI) </w:t>
      </w:r>
      <w:r w:rsidR="00481B8B" w:rsidRPr="00F37C68">
        <w:t>p</w:t>
      </w:r>
      <w:r w:rsidRPr="00F37C68">
        <w:t xml:space="preserve">ublication </w:t>
      </w:r>
      <w:r w:rsidR="00481B8B" w:rsidRPr="00F37C68">
        <w:t>s</w:t>
      </w:r>
      <w:r w:rsidR="00AE0F8C" w:rsidRPr="00F37C68">
        <w:t>cheme or</w:t>
      </w:r>
      <w:r w:rsidRPr="00F37C68">
        <w:t xml:space="preserve"> adopt a model </w:t>
      </w:r>
      <w:r w:rsidR="00481B8B" w:rsidRPr="00F37C68">
        <w:t>p</w:t>
      </w:r>
      <w:r w:rsidRPr="00F37C68">
        <w:t xml:space="preserve">ublication </w:t>
      </w:r>
      <w:r w:rsidR="00481B8B" w:rsidRPr="00F37C68">
        <w:t>s</w:t>
      </w:r>
      <w:r w:rsidRPr="00F37C68">
        <w:t xml:space="preserve">cheme approved by the Information Commissioner.  A </w:t>
      </w:r>
      <w:r w:rsidR="00481B8B" w:rsidRPr="00F37C68">
        <w:t>p</w:t>
      </w:r>
      <w:r w:rsidRPr="00F37C68">
        <w:t xml:space="preserve">ublication </w:t>
      </w:r>
      <w:r w:rsidR="00481B8B" w:rsidRPr="00F37C68">
        <w:t>s</w:t>
      </w:r>
      <w:r w:rsidRPr="00F37C68">
        <w:t xml:space="preserve">cheme is a complete guide to the information routinely published by a public authority. It describes the classes or types of information about the </w:t>
      </w:r>
      <w:r w:rsidR="00A2131A" w:rsidRPr="00F37C68">
        <w:t>ICB</w:t>
      </w:r>
      <w:r w:rsidRPr="00F37C68">
        <w:t xml:space="preserve"> that are made publicly available.</w:t>
      </w:r>
    </w:p>
    <w:p w14:paraId="63741819" w14:textId="29131550" w:rsidR="00C90E18" w:rsidRPr="003C3483" w:rsidRDefault="00C90E18" w:rsidP="00C90E18">
      <w:pPr>
        <w:pStyle w:val="Heading2Numbered"/>
        <w:spacing w:before="360"/>
        <w:ind w:left="0"/>
        <w:rPr>
          <w:color w:val="002060"/>
        </w:rPr>
      </w:pPr>
      <w:bookmarkStart w:id="80" w:name="_Toc230249821"/>
      <w:r w:rsidRPr="003C3483">
        <w:rPr>
          <w:color w:val="002060"/>
        </w:rPr>
        <w:t xml:space="preserve">Responsibilities and duties of other </w:t>
      </w:r>
      <w:r w:rsidR="00916428" w:rsidRPr="003C3483">
        <w:rPr>
          <w:color w:val="002060"/>
        </w:rPr>
        <w:t xml:space="preserve">Chief Officers </w:t>
      </w:r>
      <w:r w:rsidRPr="003C3483">
        <w:rPr>
          <w:color w:val="002060"/>
        </w:rPr>
        <w:t>and Officers in relation to computer systems of a general application</w:t>
      </w:r>
      <w:bookmarkEnd w:id="80"/>
    </w:p>
    <w:p w14:paraId="41C0E7C7" w14:textId="7538A4FA" w:rsidR="00C90E18" w:rsidRDefault="00C90E18" w:rsidP="0070678C">
      <w:pPr>
        <w:pStyle w:val="Heading3Numbered"/>
      </w:pPr>
      <w:r>
        <w:t xml:space="preserve">In the case of computer systems which are proposed General Applications </w:t>
      </w:r>
      <w:r w:rsidRPr="0066362B">
        <w:rPr>
          <w:i/>
          <w:iCs/>
          <w:sz w:val="22"/>
          <w:szCs w:val="22"/>
        </w:rPr>
        <w:t xml:space="preserve">(i.e. normally those applications which the majority of </w:t>
      </w:r>
      <w:r w:rsidR="00A2131A" w:rsidRPr="0066362B">
        <w:rPr>
          <w:i/>
          <w:iCs/>
          <w:sz w:val="22"/>
          <w:szCs w:val="22"/>
        </w:rPr>
        <w:t>ICB</w:t>
      </w:r>
      <w:r w:rsidRPr="0066362B">
        <w:rPr>
          <w:i/>
          <w:iCs/>
          <w:sz w:val="22"/>
          <w:szCs w:val="22"/>
        </w:rPr>
        <w:t>s in the Region wish to sponsor jointly)</w:t>
      </w:r>
      <w:r>
        <w:t xml:space="preserve"> all responsible </w:t>
      </w:r>
      <w:r w:rsidR="00916428" w:rsidRPr="00F37C68">
        <w:rPr>
          <w:color w:val="auto"/>
        </w:rPr>
        <w:t xml:space="preserve">Chief Officers </w:t>
      </w:r>
      <w:r w:rsidRPr="00F37C68">
        <w:rPr>
          <w:color w:val="auto"/>
        </w:rPr>
        <w:t xml:space="preserve">and employees will send to the </w:t>
      </w:r>
      <w:r w:rsidR="008E2795">
        <w:rPr>
          <w:color w:val="auto"/>
        </w:rPr>
        <w:t>Deputy Director responsible for Digital matters</w:t>
      </w:r>
    </w:p>
    <w:p w14:paraId="208894F6" w14:textId="0FCC9B0E" w:rsidR="00C90E18" w:rsidRDefault="00C90E18" w:rsidP="0074740C">
      <w:pPr>
        <w:pStyle w:val="Heading3Numbered"/>
        <w:numPr>
          <w:ilvl w:val="0"/>
          <w:numId w:val="50"/>
        </w:numPr>
      </w:pPr>
      <w:r w:rsidRPr="00F37C68">
        <w:t>details of the outline design of the system including Information Governance</w:t>
      </w:r>
      <w:r w:rsidR="00AD4811">
        <w:t xml:space="preserve"> and security</w:t>
      </w:r>
      <w:r w:rsidRPr="00F37C68">
        <w:t xml:space="preserve"> </w:t>
      </w:r>
      <w:r w:rsidR="006329FE" w:rsidRPr="00F37C68">
        <w:t>and Data Protection Impact Assessment (DPIA)</w:t>
      </w:r>
      <w:r w:rsidRPr="00F37C68">
        <w:t xml:space="preserve"> </w:t>
      </w:r>
      <w:r>
        <w:t>considerations;</w:t>
      </w:r>
    </w:p>
    <w:p w14:paraId="4DA54378" w14:textId="5DEBBCE6" w:rsidR="00C90E18" w:rsidRDefault="00C90E18" w:rsidP="0074740C">
      <w:pPr>
        <w:pStyle w:val="Heading3Numbered"/>
        <w:numPr>
          <w:ilvl w:val="0"/>
          <w:numId w:val="50"/>
        </w:numPr>
      </w:pPr>
      <w:r>
        <w:t>in the case of packages acquired either from a commercial organisation, from the NHS, or from another public sector organisation, the operational requirement.</w:t>
      </w:r>
    </w:p>
    <w:p w14:paraId="2888845D" w14:textId="5FBDE810" w:rsidR="00C90E18" w:rsidRPr="003C3483" w:rsidRDefault="00C90E18" w:rsidP="00C90E18">
      <w:pPr>
        <w:pStyle w:val="Heading2Numbered"/>
        <w:spacing w:before="360"/>
        <w:ind w:left="0"/>
        <w:rPr>
          <w:color w:val="002060"/>
        </w:rPr>
      </w:pPr>
      <w:bookmarkStart w:id="81" w:name="_Toc230249822"/>
      <w:r w:rsidRPr="003C3483">
        <w:rPr>
          <w:color w:val="002060"/>
        </w:rPr>
        <w:t>Contracts for digital services</w:t>
      </w:r>
      <w:r w:rsidR="00481B8B" w:rsidRPr="003C3483">
        <w:rPr>
          <w:color w:val="002060"/>
        </w:rPr>
        <w:t xml:space="preserve"> for financial applications </w:t>
      </w:r>
      <w:r w:rsidRPr="003C3483">
        <w:rPr>
          <w:color w:val="002060"/>
        </w:rPr>
        <w:t>with other health bodies or outside agencies</w:t>
      </w:r>
      <w:bookmarkEnd w:id="81"/>
    </w:p>
    <w:p w14:paraId="163A2D22" w14:textId="76484D3C" w:rsidR="00C90E18" w:rsidRDefault="00C90E18" w:rsidP="0070678C">
      <w:pPr>
        <w:pStyle w:val="Heading3Numbered"/>
      </w:pPr>
      <w:r>
        <w:t>The Chief Finance Officer shall ensure that contracts for computer services for financial applications with another health organisation or any other agency shall clearly define the responsibility of all parties for the security, privacy, accuracy, completeness, and timeliness of data during processing, transmission and storage.  The contract should also ensure rights of access for audit purposes.</w:t>
      </w:r>
    </w:p>
    <w:p w14:paraId="23A5FA12" w14:textId="7E7754C0" w:rsidR="0066362B" w:rsidRDefault="0066362B" w:rsidP="0070678C">
      <w:pPr>
        <w:pStyle w:val="Heading3Numbered"/>
      </w:pPr>
      <w:r>
        <w:t xml:space="preserve"> </w:t>
      </w:r>
      <w:r w:rsidRPr="00F37C68">
        <w:t xml:space="preserve">The Chief Financial Officer will ensure the necessary due diligence checks are undertaken to ensure the third-party provider is compliant with Data Protection laws and National Data Guardian standards. </w:t>
      </w:r>
    </w:p>
    <w:p w14:paraId="7299157F" w14:textId="0663E212" w:rsidR="00C90E18" w:rsidRDefault="00C90E18" w:rsidP="0070678C">
      <w:pPr>
        <w:pStyle w:val="Heading3Numbered"/>
      </w:pPr>
      <w:r>
        <w:lastRenderedPageBreak/>
        <w:t>Where another health organisation or any other agency provides a computer service for financial applications, the Chief Finance Officer shall periodically seek assurances that adequate controls are in operation.</w:t>
      </w:r>
    </w:p>
    <w:p w14:paraId="24187823" w14:textId="184ECF65" w:rsidR="00C90E18" w:rsidRPr="003C3483" w:rsidRDefault="00C90E18" w:rsidP="00C90E18">
      <w:pPr>
        <w:pStyle w:val="Heading2Numbered"/>
        <w:spacing w:before="360"/>
        <w:ind w:left="0"/>
        <w:rPr>
          <w:color w:val="002060"/>
        </w:rPr>
      </w:pPr>
      <w:bookmarkStart w:id="82" w:name="_Toc230249823"/>
      <w:r w:rsidRPr="003C3483">
        <w:rPr>
          <w:color w:val="002060"/>
        </w:rPr>
        <w:t>Requirements for computer systems which have an impact on corporate financial systems</w:t>
      </w:r>
      <w:bookmarkEnd w:id="82"/>
    </w:p>
    <w:p w14:paraId="118ECD11" w14:textId="2B37E50E" w:rsidR="00C90E18" w:rsidRDefault="00C90E18" w:rsidP="0070678C">
      <w:pPr>
        <w:pStyle w:val="Heading3Numbered"/>
      </w:pPr>
      <w:r w:rsidRPr="00C90E18">
        <w:t xml:space="preserve">Where computer systems have an impact on corporate financial systems the </w:t>
      </w:r>
      <w:r w:rsidRPr="001E648E">
        <w:t xml:space="preserve">Chief Finance Officer </w:t>
      </w:r>
      <w:r w:rsidRPr="00C90E18">
        <w:t>shall need to be satisfied that:</w:t>
      </w:r>
    </w:p>
    <w:p w14:paraId="0CC89D1F" w14:textId="77777777" w:rsidR="00C90E18" w:rsidRDefault="00C90E18" w:rsidP="0074740C">
      <w:pPr>
        <w:pStyle w:val="BodyText"/>
        <w:keepNext/>
        <w:keepLines/>
        <w:numPr>
          <w:ilvl w:val="0"/>
          <w:numId w:val="49"/>
        </w:numPr>
        <w:spacing w:before="80" w:after="0" w:line="240" w:lineRule="auto"/>
        <w:ind w:left="567" w:hanging="357"/>
        <w:outlineLvl w:val="2"/>
      </w:pPr>
      <w:r>
        <w:t xml:space="preserve">systems </w:t>
      </w:r>
      <w:proofErr w:type="gramStart"/>
      <w:r>
        <w:t>acquisition,</w:t>
      </w:r>
      <w:proofErr w:type="gramEnd"/>
      <w:r>
        <w:t xml:space="preserve"> development and maintenance are in line with corporate policies such as an Information Technology Strategy;</w:t>
      </w:r>
    </w:p>
    <w:p w14:paraId="0740779F" w14:textId="15E1F9F6" w:rsidR="00C90E18" w:rsidRDefault="00C90E18" w:rsidP="0074740C">
      <w:pPr>
        <w:pStyle w:val="BodyText"/>
        <w:keepNext/>
        <w:keepLines/>
        <w:numPr>
          <w:ilvl w:val="0"/>
          <w:numId w:val="49"/>
        </w:numPr>
        <w:spacing w:before="80" w:after="0" w:line="240" w:lineRule="auto"/>
        <w:ind w:left="567" w:hanging="357"/>
        <w:outlineLvl w:val="2"/>
      </w:pPr>
      <w:r>
        <w:t>data produced for use with financial systems is ad</w:t>
      </w:r>
      <w:r w:rsidRPr="00F37C68">
        <w:rPr>
          <w:color w:val="auto"/>
        </w:rPr>
        <w:t xml:space="preserve">equate, </w:t>
      </w:r>
      <w:r w:rsidR="0066362B" w:rsidRPr="00F37C68">
        <w:rPr>
          <w:color w:val="auto"/>
        </w:rPr>
        <w:t xml:space="preserve">relevant, </w:t>
      </w:r>
      <w:r>
        <w:t xml:space="preserve">accurate, complete and timely, and that a management (audit) trail exists; </w:t>
      </w:r>
    </w:p>
    <w:p w14:paraId="45F3E5CB" w14:textId="77777777" w:rsidR="00C90E18" w:rsidRDefault="00C90E18" w:rsidP="0074740C">
      <w:pPr>
        <w:pStyle w:val="BodyText"/>
        <w:keepNext/>
        <w:keepLines/>
        <w:numPr>
          <w:ilvl w:val="0"/>
          <w:numId w:val="49"/>
        </w:numPr>
        <w:spacing w:before="80" w:after="0" w:line="240" w:lineRule="auto"/>
        <w:ind w:left="567" w:hanging="357"/>
        <w:outlineLvl w:val="2"/>
      </w:pPr>
      <w:r>
        <w:t xml:space="preserve">only relevant staff have access to such data; </w:t>
      </w:r>
    </w:p>
    <w:p w14:paraId="36AB2B93" w14:textId="2FAE8143" w:rsidR="003273B5" w:rsidRPr="003273B5" w:rsidRDefault="00C90E18" w:rsidP="0074740C">
      <w:pPr>
        <w:pStyle w:val="BodyText"/>
        <w:keepNext/>
        <w:keepLines/>
        <w:numPr>
          <w:ilvl w:val="0"/>
          <w:numId w:val="49"/>
        </w:numPr>
        <w:spacing w:before="80" w:after="0" w:line="240" w:lineRule="auto"/>
        <w:ind w:left="567" w:hanging="357"/>
        <w:outlineLvl w:val="2"/>
      </w:pPr>
      <w:r w:rsidRPr="00481B8B">
        <w:rPr>
          <w:rFonts w:cs="Arial"/>
          <w:color w:val="000000"/>
        </w:rPr>
        <w:t>such computer audit reviews as are considered necessary are being carried out</w:t>
      </w:r>
      <w:r w:rsidR="00481B8B">
        <w:t>.</w:t>
      </w:r>
    </w:p>
    <w:p w14:paraId="289BC181" w14:textId="3FD43014" w:rsidR="003273B5" w:rsidRPr="003C3483" w:rsidRDefault="00AE0F8C" w:rsidP="003273B5">
      <w:pPr>
        <w:pStyle w:val="Heading1Numbered"/>
        <w:ind w:left="0"/>
        <w:rPr>
          <w:color w:val="002060"/>
          <w:sz w:val="56"/>
          <w:szCs w:val="28"/>
        </w:rPr>
      </w:pPr>
      <w:bookmarkStart w:id="83" w:name="_Toc230249824"/>
      <w:r w:rsidRPr="003C3483">
        <w:rPr>
          <w:color w:val="002060"/>
          <w:sz w:val="56"/>
          <w:szCs w:val="28"/>
        </w:rPr>
        <w:t xml:space="preserve">Gifts </w:t>
      </w:r>
      <w:r w:rsidR="0036117F" w:rsidRPr="003C3483">
        <w:rPr>
          <w:color w:val="002060"/>
          <w:sz w:val="56"/>
          <w:szCs w:val="28"/>
        </w:rPr>
        <w:t>and donations</w:t>
      </w:r>
      <w:bookmarkEnd w:id="83"/>
    </w:p>
    <w:p w14:paraId="56561B1C" w14:textId="142DEFD6" w:rsidR="00AF3767" w:rsidRPr="003C3483" w:rsidRDefault="0036117F" w:rsidP="00AF3767">
      <w:pPr>
        <w:pStyle w:val="Heading2Numbered"/>
        <w:spacing w:before="360"/>
        <w:ind w:left="0"/>
        <w:rPr>
          <w:color w:val="002060"/>
        </w:rPr>
      </w:pPr>
      <w:bookmarkStart w:id="84" w:name="_Toc230249825"/>
      <w:r w:rsidRPr="003C3483">
        <w:rPr>
          <w:color w:val="002060"/>
        </w:rPr>
        <w:t>Acceptance of Gifts</w:t>
      </w:r>
      <w:bookmarkEnd w:id="84"/>
    </w:p>
    <w:p w14:paraId="19DF8A22" w14:textId="64BC3DDD" w:rsidR="00481B8B" w:rsidRDefault="00AE0F8C" w:rsidP="0070678C">
      <w:pPr>
        <w:pStyle w:val="Heading3Numbered"/>
      </w:pPr>
      <w:r>
        <w:t xml:space="preserve">The Chief Finance Officer shall ensure that all staff are made aware of the </w:t>
      </w:r>
      <w:r w:rsidR="00A2131A">
        <w:t>ICB</w:t>
      </w:r>
      <w:r>
        <w:t xml:space="preserve"> policy on acceptance of gifts and other benefits in kind by staff which will be in line with the Bribery Act 2010. </w:t>
      </w:r>
    </w:p>
    <w:p w14:paraId="7A5B2D5A" w14:textId="18B95ADD" w:rsidR="003273B5" w:rsidRDefault="00AE0F8C" w:rsidP="0070678C">
      <w:pPr>
        <w:pStyle w:val="Heading3Numbered"/>
      </w:pPr>
      <w:r w:rsidRPr="000F40F9">
        <w:t>This policy follows the guidance contained in the NHS England Policy for Managing Conflicts of Interest 2017; the Code of Conduct for NHS Managers 2002;</w:t>
      </w:r>
      <w:r w:rsidRPr="000F40F9">
        <w:rPr>
          <w:b/>
        </w:rPr>
        <w:t xml:space="preserve"> </w:t>
      </w:r>
      <w:r w:rsidRPr="000F40F9">
        <w:t>and the ABPI Code of Professional Conduct</w:t>
      </w:r>
      <w:r>
        <w:t xml:space="preserve"> relating to hospitality/gifts from pharmaceutical/external industry and is also deemed to be an integral part of these </w:t>
      </w:r>
      <w:r w:rsidR="00A2131A">
        <w:t>ICB</w:t>
      </w:r>
      <w:r>
        <w:t xml:space="preserve"> Constitution and </w:t>
      </w:r>
      <w:r>
        <w:rPr>
          <w:color w:val="000000"/>
        </w:rPr>
        <w:t>Standing Financial Instructions</w:t>
      </w:r>
      <w:r>
        <w:t>.</w:t>
      </w:r>
    </w:p>
    <w:p w14:paraId="01D25A92" w14:textId="1938F054" w:rsidR="0036117F" w:rsidRDefault="0036117F" w:rsidP="0070678C">
      <w:pPr>
        <w:pStyle w:val="Heading3Numbered"/>
      </w:pPr>
      <w:r>
        <w:t xml:space="preserve">Further details can </w:t>
      </w:r>
      <w:r w:rsidRPr="00F37C68">
        <w:t xml:space="preserve">be found in the </w:t>
      </w:r>
      <w:r w:rsidR="006329FE" w:rsidRPr="00F37C68">
        <w:t>in the ICB’s</w:t>
      </w:r>
      <w:r w:rsidR="0005537C">
        <w:t xml:space="preserve"> </w:t>
      </w:r>
      <w:r w:rsidR="007225AF">
        <w:t>Gifts and Hospitality policies</w:t>
      </w:r>
      <w:r w:rsidR="006329FE" w:rsidRPr="00F37C68">
        <w:rPr>
          <w:color w:val="0072CE" w:themeColor="accent3"/>
        </w:rPr>
        <w:t xml:space="preserve"> </w:t>
      </w:r>
      <w:r w:rsidRPr="00F37C68">
        <w:t>and the ICB Constitution</w:t>
      </w:r>
      <w:r w:rsidR="005F6621">
        <w:t>s</w:t>
      </w:r>
      <w:r w:rsidRPr="00F37C68">
        <w:t>.</w:t>
      </w:r>
    </w:p>
    <w:p w14:paraId="3B5A4EAB" w14:textId="77777777" w:rsidR="0036117F" w:rsidRPr="003C3483" w:rsidRDefault="0036117F" w:rsidP="0036117F">
      <w:pPr>
        <w:pStyle w:val="Heading2Numbered"/>
        <w:spacing w:before="360"/>
        <w:ind w:left="0"/>
        <w:rPr>
          <w:color w:val="002060"/>
        </w:rPr>
      </w:pPr>
      <w:bookmarkStart w:id="85" w:name="_Toc230249826"/>
      <w:r w:rsidRPr="003C3483">
        <w:rPr>
          <w:color w:val="002060"/>
        </w:rPr>
        <w:t>Granting of Gifts</w:t>
      </w:r>
      <w:bookmarkEnd w:id="85"/>
    </w:p>
    <w:p w14:paraId="336B001F" w14:textId="7374D115" w:rsidR="0036117F" w:rsidRPr="00F37C68" w:rsidRDefault="0036117F" w:rsidP="0070678C">
      <w:pPr>
        <w:pStyle w:val="Heading3Numbered"/>
      </w:pPr>
      <w:r w:rsidRPr="00F37C68">
        <w:t>The ICB will not present gifts to third parties without the consent of the Chief Executive Officer, as this does not fall within the functions of the ICB as set out in the ICB Constitution.</w:t>
      </w:r>
    </w:p>
    <w:p w14:paraId="368AD48D" w14:textId="165B4292" w:rsidR="0036117F" w:rsidRPr="003C3483" w:rsidRDefault="0036117F" w:rsidP="0036117F">
      <w:pPr>
        <w:pStyle w:val="Heading2Numbered"/>
        <w:spacing w:before="360"/>
        <w:ind w:left="0"/>
        <w:rPr>
          <w:color w:val="002060"/>
        </w:rPr>
      </w:pPr>
      <w:bookmarkStart w:id="86" w:name="_Toc230249827"/>
      <w:r w:rsidRPr="003C3483">
        <w:rPr>
          <w:color w:val="002060"/>
        </w:rPr>
        <w:t>Donations</w:t>
      </w:r>
      <w:bookmarkEnd w:id="86"/>
      <w:r w:rsidRPr="003C3483">
        <w:rPr>
          <w:color w:val="002060"/>
        </w:rPr>
        <w:t xml:space="preserve"> </w:t>
      </w:r>
    </w:p>
    <w:p w14:paraId="18363146" w14:textId="58CD0222" w:rsidR="0036117F" w:rsidRPr="00F37C68" w:rsidRDefault="0036117F" w:rsidP="0070678C">
      <w:pPr>
        <w:pStyle w:val="Heading3Numbered"/>
      </w:pPr>
      <w:r w:rsidRPr="00F37C68">
        <w:lastRenderedPageBreak/>
        <w:t>The ICB do not hold charitable funds and are therefore unable to accept monetary donations.</w:t>
      </w:r>
    </w:p>
    <w:p w14:paraId="5155B1BD" w14:textId="77777777" w:rsidR="003273B5" w:rsidRPr="003273B5" w:rsidRDefault="003273B5" w:rsidP="003273B5">
      <w:pPr>
        <w:pStyle w:val="BodyText"/>
      </w:pPr>
    </w:p>
    <w:p w14:paraId="5F9085A3" w14:textId="77777777" w:rsidR="003273B5" w:rsidRDefault="003273B5" w:rsidP="003273B5">
      <w:pPr>
        <w:pStyle w:val="BodyText"/>
        <w:sectPr w:rsidR="003273B5" w:rsidSect="00767381">
          <w:pgSz w:w="11906" w:h="16838" w:code="9"/>
          <w:pgMar w:top="1418" w:right="1928" w:bottom="1247" w:left="1077" w:header="624" w:footer="510" w:gutter="0"/>
          <w:cols w:space="708"/>
          <w:docGrid w:linePitch="360"/>
        </w:sectPr>
      </w:pPr>
    </w:p>
    <w:p w14:paraId="634EC69C" w14:textId="2B708565" w:rsidR="003273B5" w:rsidRPr="003C3483" w:rsidRDefault="00AF3767" w:rsidP="003273B5">
      <w:pPr>
        <w:pStyle w:val="Heading1Numbered"/>
        <w:ind w:left="0"/>
        <w:rPr>
          <w:color w:val="002060"/>
          <w:sz w:val="56"/>
          <w:szCs w:val="28"/>
        </w:rPr>
      </w:pPr>
      <w:bookmarkStart w:id="87" w:name="_Toc230249828"/>
      <w:r w:rsidRPr="003C3483">
        <w:rPr>
          <w:color w:val="002060"/>
          <w:sz w:val="56"/>
          <w:szCs w:val="28"/>
        </w:rPr>
        <w:lastRenderedPageBreak/>
        <w:t>Retention of records</w:t>
      </w:r>
      <w:bookmarkEnd w:id="87"/>
    </w:p>
    <w:p w14:paraId="3E09EACD" w14:textId="77777777" w:rsidR="00AF3767" w:rsidRPr="003C3483" w:rsidRDefault="00AF3767" w:rsidP="00AF3767">
      <w:pPr>
        <w:pStyle w:val="Heading2Numbered"/>
        <w:spacing w:before="360"/>
        <w:ind w:left="0"/>
        <w:rPr>
          <w:color w:val="002060"/>
        </w:rPr>
      </w:pPr>
      <w:bookmarkStart w:id="88" w:name="_Toc230249829"/>
      <w:r w:rsidRPr="003C3483">
        <w:rPr>
          <w:color w:val="002060"/>
        </w:rPr>
        <w:t>Overview</w:t>
      </w:r>
      <w:bookmarkEnd w:id="88"/>
    </w:p>
    <w:p w14:paraId="5BA57F9F" w14:textId="4339A971" w:rsidR="00AF3767" w:rsidRDefault="00AF3767" w:rsidP="0070678C">
      <w:pPr>
        <w:pStyle w:val="Heading3Numbered"/>
      </w:pPr>
      <w:r w:rsidRPr="00AF3767">
        <w:t>The Chief Executive Officer shall be responsible for maintaining archives for all records required to be retained in accordance w</w:t>
      </w:r>
      <w:r w:rsidRPr="006329FE">
        <w:t xml:space="preserve">ith Records Management Code of Practice for Health and Social </w:t>
      </w:r>
      <w:r w:rsidR="006329FE">
        <w:t>C</w:t>
      </w:r>
      <w:r w:rsidRPr="006329FE">
        <w:t xml:space="preserve">are </w:t>
      </w:r>
      <w:r w:rsidR="006329FE" w:rsidRPr="00F37C68">
        <w:rPr>
          <w:color w:val="auto"/>
        </w:rPr>
        <w:t>2023</w:t>
      </w:r>
      <w:r w:rsidRPr="006329FE">
        <w:t>.</w:t>
      </w:r>
    </w:p>
    <w:p w14:paraId="77CD7C92" w14:textId="17D31906" w:rsidR="00AF3767" w:rsidRDefault="00B36DB6" w:rsidP="0070678C">
      <w:pPr>
        <w:pStyle w:val="Heading3Numbered"/>
      </w:pPr>
      <w:r w:rsidRPr="00B36DB6">
        <w:t>The records held in archives shall be capable of retrieval by authorised persons.</w:t>
      </w:r>
    </w:p>
    <w:p w14:paraId="06B550E3" w14:textId="77777777" w:rsidR="002531F5" w:rsidRDefault="00B36DB6" w:rsidP="0070678C">
      <w:pPr>
        <w:pStyle w:val="Heading3Numbered"/>
      </w:pPr>
      <w:r w:rsidRPr="00B36DB6">
        <w:t xml:space="preserve">Records held in accordance with NHS Code of Practice - Records Management 2006, shall only be destroyed at the express instigation of the Chief Executive Officer. </w:t>
      </w:r>
      <w:r w:rsidR="00481B8B">
        <w:t xml:space="preserve"> </w:t>
      </w:r>
      <w:r w:rsidRPr="00B36DB6">
        <w:t>Detail shall be maintained of records so destroyed</w:t>
      </w:r>
    </w:p>
    <w:p w14:paraId="7C9DDF42" w14:textId="31FB5F6F" w:rsidR="00AF3767" w:rsidRDefault="00A21161" w:rsidP="0070678C">
      <w:pPr>
        <w:pStyle w:val="Heading3Numbered"/>
      </w:pPr>
      <w:r>
        <w:t>Further details can be found in the Records Management polic</w:t>
      </w:r>
      <w:r w:rsidR="00590122">
        <w:t>ies</w:t>
      </w:r>
      <w:r w:rsidR="00B36DB6" w:rsidRPr="00B36DB6">
        <w:t>.</w:t>
      </w:r>
    </w:p>
    <w:p w14:paraId="5B2574A6" w14:textId="77777777" w:rsidR="002531F5" w:rsidRPr="002531F5" w:rsidRDefault="002531F5" w:rsidP="002531F5">
      <w:pPr>
        <w:pStyle w:val="BodyText"/>
      </w:pPr>
    </w:p>
    <w:p w14:paraId="1E8D8BAE" w14:textId="77777777" w:rsidR="003273B5" w:rsidRDefault="003273B5" w:rsidP="003273B5">
      <w:pPr>
        <w:pStyle w:val="BodyText"/>
      </w:pPr>
    </w:p>
    <w:p w14:paraId="4DA74810" w14:textId="3D802D95" w:rsidR="00292C02" w:rsidRPr="003C3483" w:rsidRDefault="00B36DB6" w:rsidP="004C1E2A">
      <w:pPr>
        <w:pStyle w:val="Heading1Numbered"/>
        <w:ind w:left="0"/>
        <w:rPr>
          <w:color w:val="002060"/>
          <w:sz w:val="56"/>
          <w:szCs w:val="28"/>
        </w:rPr>
      </w:pPr>
      <w:bookmarkStart w:id="89" w:name="_Toc230249830"/>
      <w:r w:rsidRPr="003C3483">
        <w:rPr>
          <w:color w:val="002060"/>
          <w:sz w:val="56"/>
          <w:szCs w:val="28"/>
        </w:rPr>
        <w:t>Risk Management, l</w:t>
      </w:r>
      <w:r w:rsidR="005060B7" w:rsidRPr="003C3483">
        <w:rPr>
          <w:color w:val="002060"/>
          <w:sz w:val="56"/>
          <w:szCs w:val="28"/>
        </w:rPr>
        <w:t>egal and insurance</w:t>
      </w:r>
      <w:bookmarkEnd w:id="89"/>
      <w:r w:rsidR="00FB4003" w:rsidRPr="003C3483">
        <w:rPr>
          <w:color w:val="002060"/>
          <w:sz w:val="56"/>
          <w:szCs w:val="28"/>
        </w:rPr>
        <w:t xml:space="preserve"> </w:t>
      </w:r>
      <w:r w:rsidR="006C0CBA" w:rsidRPr="003C3483">
        <w:rPr>
          <w:color w:val="002060"/>
          <w:sz w:val="56"/>
          <w:szCs w:val="28"/>
        </w:rPr>
        <w:t xml:space="preserve"> </w:t>
      </w:r>
      <w:r w:rsidR="00D3000F" w:rsidRPr="003C3483">
        <w:rPr>
          <w:color w:val="002060"/>
          <w:sz w:val="56"/>
          <w:szCs w:val="28"/>
        </w:rPr>
        <w:t xml:space="preserve"> </w:t>
      </w:r>
      <w:r w:rsidR="00292C02" w:rsidRPr="003C3483">
        <w:rPr>
          <w:color w:val="002060"/>
          <w:sz w:val="56"/>
          <w:szCs w:val="28"/>
        </w:rPr>
        <w:t xml:space="preserve"> </w:t>
      </w:r>
    </w:p>
    <w:p w14:paraId="1CA24C8E" w14:textId="41AA5D66" w:rsidR="00B36DB6" w:rsidRPr="003C3483" w:rsidRDefault="00B36DB6" w:rsidP="00B36DB6">
      <w:pPr>
        <w:pStyle w:val="Heading2Numbered"/>
        <w:spacing w:before="360"/>
        <w:ind w:left="0"/>
        <w:rPr>
          <w:color w:val="002060"/>
        </w:rPr>
      </w:pPr>
      <w:bookmarkStart w:id="90" w:name="_Toc230249831"/>
      <w:r w:rsidRPr="003C3483">
        <w:rPr>
          <w:color w:val="002060"/>
        </w:rPr>
        <w:t>Risk management</w:t>
      </w:r>
      <w:bookmarkEnd w:id="90"/>
    </w:p>
    <w:p w14:paraId="1AC70879" w14:textId="4C1B8582" w:rsidR="00B36DB6" w:rsidRDefault="00B36DB6" w:rsidP="0070678C">
      <w:pPr>
        <w:pStyle w:val="Heading3Numbered"/>
      </w:pPr>
      <w:r>
        <w:t xml:space="preserve">The Chief Executive Officer shall ensure that the </w:t>
      </w:r>
      <w:r w:rsidR="00A2131A">
        <w:t>ICB</w:t>
      </w:r>
      <w:r>
        <w:t xml:space="preserve"> has a programme of risk </w:t>
      </w:r>
      <w:r w:rsidRPr="00F37C68">
        <w:rPr>
          <w:color w:val="auto"/>
        </w:rPr>
        <w:t xml:space="preserve">management, in accordance with current </w:t>
      </w:r>
      <w:r w:rsidR="00A10769" w:rsidRPr="00F37C68">
        <w:rPr>
          <w:color w:val="auto"/>
        </w:rPr>
        <w:t xml:space="preserve">Department of Health and Social Care </w:t>
      </w:r>
      <w:r w:rsidRPr="00F37C68">
        <w:rPr>
          <w:color w:val="auto"/>
        </w:rPr>
        <w:t xml:space="preserve">assurance </w:t>
      </w:r>
      <w:r>
        <w:t xml:space="preserve">framework requirements, which must be approved and monitored by the </w:t>
      </w:r>
      <w:r w:rsidR="00A2131A">
        <w:t>Board</w:t>
      </w:r>
      <w:r>
        <w:t>.  The programme of risk management shall include:</w:t>
      </w:r>
    </w:p>
    <w:p w14:paraId="49F603DC" w14:textId="7A9BC9BA" w:rsidR="00B36DB6" w:rsidRPr="00B36DB6" w:rsidRDefault="00B36DB6" w:rsidP="0074740C">
      <w:pPr>
        <w:pStyle w:val="ListParagraph"/>
        <w:numPr>
          <w:ilvl w:val="1"/>
          <w:numId w:val="52"/>
        </w:numPr>
        <w:tabs>
          <w:tab w:val="left" w:pos="864"/>
        </w:tabs>
        <w:spacing w:before="120" w:after="240"/>
        <w:ind w:left="851" w:hanging="357"/>
        <w:contextualSpacing w:val="0"/>
        <w:rPr>
          <w:rFonts w:cs="Arial"/>
          <w:color w:val="000000"/>
        </w:rPr>
      </w:pPr>
      <w:r w:rsidRPr="00B36DB6">
        <w:rPr>
          <w:rFonts w:cs="Arial"/>
          <w:color w:val="000000"/>
        </w:rPr>
        <w:t>process for identifying and quantifying risks and potential liabilities;</w:t>
      </w:r>
    </w:p>
    <w:p w14:paraId="7DFEF02D" w14:textId="11301C3F" w:rsidR="00B36DB6" w:rsidRPr="00B36DB6" w:rsidRDefault="00B36DB6" w:rsidP="0074740C">
      <w:pPr>
        <w:pStyle w:val="ListParagraph"/>
        <w:numPr>
          <w:ilvl w:val="1"/>
          <w:numId w:val="52"/>
        </w:numPr>
        <w:tabs>
          <w:tab w:val="left" w:pos="864"/>
        </w:tabs>
        <w:spacing w:before="120" w:after="240"/>
        <w:ind w:left="851" w:hanging="357"/>
        <w:contextualSpacing w:val="0"/>
        <w:rPr>
          <w:rFonts w:cs="Arial"/>
          <w:color w:val="000000"/>
        </w:rPr>
      </w:pPr>
      <w:r w:rsidRPr="00B36DB6">
        <w:rPr>
          <w:rFonts w:cs="Arial"/>
          <w:color w:val="000000"/>
        </w:rPr>
        <w:t>engendering among all levels of staff a positive attitude towards the control of risk;</w:t>
      </w:r>
    </w:p>
    <w:p w14:paraId="3850E5B6" w14:textId="52179F59" w:rsidR="00B36DB6" w:rsidRPr="00B36DB6" w:rsidRDefault="00B36DB6" w:rsidP="0074740C">
      <w:pPr>
        <w:pStyle w:val="ListParagraph"/>
        <w:numPr>
          <w:ilvl w:val="1"/>
          <w:numId w:val="52"/>
        </w:numPr>
        <w:tabs>
          <w:tab w:val="left" w:pos="864"/>
        </w:tabs>
        <w:spacing w:before="120" w:after="240"/>
        <w:ind w:left="851" w:hanging="357"/>
        <w:contextualSpacing w:val="0"/>
        <w:rPr>
          <w:rFonts w:cs="Arial"/>
          <w:color w:val="auto"/>
        </w:rPr>
      </w:pPr>
      <w:r w:rsidRPr="00B36DB6">
        <w:rPr>
          <w:rFonts w:cs="Arial"/>
          <w:color w:val="auto"/>
        </w:rPr>
        <w:t>management processes to ensure all significant risks and potential liabilities are addressed including effective systems of internal control, cost effective insurance cover, and decisions on the acceptable level of retained risk;</w:t>
      </w:r>
    </w:p>
    <w:p w14:paraId="153FC1F7" w14:textId="77777777" w:rsidR="00B36DB6" w:rsidRPr="00B36DB6" w:rsidRDefault="00B36DB6" w:rsidP="0074740C">
      <w:pPr>
        <w:pStyle w:val="ListParagraph"/>
        <w:numPr>
          <w:ilvl w:val="1"/>
          <w:numId w:val="52"/>
        </w:numPr>
        <w:tabs>
          <w:tab w:val="left" w:pos="864"/>
        </w:tabs>
        <w:spacing w:before="120" w:after="240"/>
        <w:ind w:left="851" w:hanging="357"/>
        <w:contextualSpacing w:val="0"/>
        <w:rPr>
          <w:rFonts w:cs="Arial"/>
          <w:color w:val="auto"/>
        </w:rPr>
      </w:pPr>
      <w:r w:rsidRPr="00B36DB6">
        <w:rPr>
          <w:rFonts w:cs="Arial"/>
          <w:color w:val="auto"/>
        </w:rPr>
        <w:t>contingency plans to offset the impact of adverse events;</w:t>
      </w:r>
    </w:p>
    <w:p w14:paraId="353F035B" w14:textId="04CF06AD" w:rsidR="00B36DB6" w:rsidRPr="00B36DB6" w:rsidRDefault="00B36DB6" w:rsidP="0074740C">
      <w:pPr>
        <w:pStyle w:val="ListParagraph"/>
        <w:numPr>
          <w:ilvl w:val="1"/>
          <w:numId w:val="52"/>
        </w:numPr>
        <w:tabs>
          <w:tab w:val="left" w:pos="864"/>
        </w:tabs>
        <w:spacing w:before="120" w:after="240"/>
        <w:ind w:left="851" w:hanging="357"/>
        <w:contextualSpacing w:val="0"/>
        <w:rPr>
          <w:rFonts w:cs="Arial"/>
          <w:color w:val="auto"/>
        </w:rPr>
      </w:pPr>
      <w:r w:rsidRPr="00B36DB6">
        <w:rPr>
          <w:rFonts w:cs="Arial"/>
          <w:color w:val="auto"/>
        </w:rPr>
        <w:lastRenderedPageBreak/>
        <w:t>audit arrangements including; internal audit, clinical audit, health and safety review;</w:t>
      </w:r>
    </w:p>
    <w:p w14:paraId="4D707E51" w14:textId="02182F19" w:rsidR="00B36DB6" w:rsidRPr="00B36DB6" w:rsidRDefault="002668BB" w:rsidP="0074740C">
      <w:pPr>
        <w:pStyle w:val="ListParagraph"/>
        <w:numPr>
          <w:ilvl w:val="1"/>
          <w:numId w:val="52"/>
        </w:numPr>
        <w:tabs>
          <w:tab w:val="left" w:pos="864"/>
        </w:tabs>
        <w:spacing w:before="120" w:after="240"/>
        <w:ind w:left="851" w:hanging="357"/>
        <w:contextualSpacing w:val="0"/>
        <w:rPr>
          <w:rFonts w:cs="Arial"/>
          <w:color w:val="auto"/>
        </w:rPr>
      </w:pPr>
      <w:r>
        <w:rPr>
          <w:rFonts w:cs="Arial"/>
          <w:color w:val="auto"/>
        </w:rPr>
        <w:t xml:space="preserve">any necessary insurance </w:t>
      </w:r>
      <w:r w:rsidR="00930321">
        <w:rPr>
          <w:rFonts w:cs="Arial"/>
          <w:color w:val="auto"/>
        </w:rPr>
        <w:t xml:space="preserve">(see section </w:t>
      </w:r>
      <w:r w:rsidR="00590122">
        <w:rPr>
          <w:rFonts w:cs="Arial"/>
          <w:color w:val="auto"/>
        </w:rPr>
        <w:t>19.3)</w:t>
      </w:r>
      <w:r w:rsidR="00B36DB6" w:rsidRPr="00B36DB6">
        <w:rPr>
          <w:rFonts w:cs="Arial"/>
          <w:color w:val="auto"/>
        </w:rPr>
        <w:t>;</w:t>
      </w:r>
    </w:p>
    <w:p w14:paraId="6FAAD578" w14:textId="1BCE7C80" w:rsidR="00B36DB6" w:rsidRPr="00B36DB6" w:rsidRDefault="00B36DB6" w:rsidP="0074740C">
      <w:pPr>
        <w:pStyle w:val="ListParagraph"/>
        <w:numPr>
          <w:ilvl w:val="1"/>
          <w:numId w:val="52"/>
        </w:numPr>
        <w:tabs>
          <w:tab w:val="left" w:pos="864"/>
        </w:tabs>
        <w:spacing w:before="120" w:after="240"/>
        <w:ind w:left="851" w:hanging="357"/>
        <w:contextualSpacing w:val="0"/>
        <w:rPr>
          <w:rFonts w:cs="Arial"/>
          <w:color w:val="000000"/>
        </w:rPr>
      </w:pPr>
      <w:r w:rsidRPr="00B36DB6">
        <w:rPr>
          <w:rFonts w:cs="Arial"/>
          <w:color w:val="auto"/>
        </w:rPr>
        <w:t xml:space="preserve">arrangements to </w:t>
      </w:r>
      <w:r w:rsidRPr="00B36DB6">
        <w:rPr>
          <w:rFonts w:cs="Arial"/>
          <w:color w:val="000000"/>
        </w:rPr>
        <w:t>review the risk management programme.</w:t>
      </w:r>
    </w:p>
    <w:p w14:paraId="499675C5" w14:textId="56FB95E8" w:rsidR="00B36DB6" w:rsidRDefault="00B36DB6" w:rsidP="0070678C">
      <w:pPr>
        <w:pStyle w:val="Heading3Numbered"/>
      </w:pPr>
      <w:r w:rsidRPr="00B36DB6">
        <w:t xml:space="preserve">The existence, integration and evaluation of the above elements will assist in providing a basis to make a statement on the effectiveness of internal control within the Annual Report and Accounts as required by current </w:t>
      </w:r>
      <w:r w:rsidR="00A10769" w:rsidRPr="003273B5">
        <w:t xml:space="preserve">Department of </w:t>
      </w:r>
      <w:r w:rsidR="00A10769" w:rsidRPr="00F37C68">
        <w:rPr>
          <w:color w:val="auto"/>
        </w:rPr>
        <w:t xml:space="preserve">Health and Social Care </w:t>
      </w:r>
      <w:r w:rsidRPr="00B36DB6">
        <w:t>guidance.</w:t>
      </w:r>
    </w:p>
    <w:p w14:paraId="738B8F7C" w14:textId="3C74991F" w:rsidR="00615F4E" w:rsidRPr="003C3483" w:rsidRDefault="00615F4E" w:rsidP="00615F4E">
      <w:pPr>
        <w:pStyle w:val="Heading2Numbered"/>
        <w:spacing w:before="360"/>
        <w:ind w:left="0"/>
        <w:rPr>
          <w:color w:val="002060"/>
        </w:rPr>
      </w:pPr>
      <w:bookmarkStart w:id="91" w:name="_Toc230249832"/>
      <w:r w:rsidRPr="003C3483">
        <w:rPr>
          <w:color w:val="002060"/>
        </w:rPr>
        <w:t>Legal</w:t>
      </w:r>
      <w:bookmarkEnd w:id="91"/>
    </w:p>
    <w:p w14:paraId="6D9EE3E9" w14:textId="74D38568" w:rsidR="00020279" w:rsidRDefault="00020279" w:rsidP="0070678C">
      <w:pPr>
        <w:pStyle w:val="Heading3Numbered"/>
      </w:pPr>
      <w:r>
        <w:t xml:space="preserve">This section applies to any legal cases threatened or instituted by or against </w:t>
      </w:r>
      <w:r w:rsidR="007D034C">
        <w:t>the ICB</w:t>
      </w:r>
      <w:r>
        <w:t>.</w:t>
      </w:r>
      <w:r w:rsidR="007D034C">
        <w:t xml:space="preserve"> The ICB should have </w:t>
      </w:r>
      <w:r w:rsidR="00B83C20">
        <w:t xml:space="preserve">arrangements </w:t>
      </w:r>
      <w:r w:rsidR="007D034C">
        <w:t>and procedures detailing:</w:t>
      </w:r>
    </w:p>
    <w:p w14:paraId="0F512648" w14:textId="1398C52D" w:rsidR="007D034C" w:rsidRDefault="007D034C" w:rsidP="00215372">
      <w:pPr>
        <w:pStyle w:val="BodyText"/>
        <w:numPr>
          <w:ilvl w:val="0"/>
          <w:numId w:val="23"/>
        </w:numPr>
        <w:spacing w:before="120" w:after="240" w:line="240" w:lineRule="auto"/>
        <w:ind w:left="714" w:hanging="357"/>
      </w:pPr>
      <w:r>
        <w:t>e</w:t>
      </w:r>
      <w:r w:rsidRPr="007D034C">
        <w:t xml:space="preserve">ngagement of solicitors / </w:t>
      </w:r>
      <w:r>
        <w:t>l</w:t>
      </w:r>
      <w:r w:rsidRPr="007D034C">
        <w:t xml:space="preserve">egal </w:t>
      </w:r>
      <w:r>
        <w:t>a</w:t>
      </w:r>
      <w:r w:rsidRPr="007D034C">
        <w:t>dvisor</w:t>
      </w:r>
      <w:r>
        <w:t>s;</w:t>
      </w:r>
      <w:r w:rsidRPr="007D034C">
        <w:t xml:space="preserve"> </w:t>
      </w:r>
    </w:p>
    <w:p w14:paraId="2CBCA978" w14:textId="3F427313" w:rsidR="007D034C" w:rsidRDefault="007D034C" w:rsidP="00215372">
      <w:pPr>
        <w:pStyle w:val="BodyText"/>
        <w:numPr>
          <w:ilvl w:val="0"/>
          <w:numId w:val="23"/>
        </w:numPr>
        <w:spacing w:before="120" w:after="240" w:line="240" w:lineRule="auto"/>
        <w:ind w:left="714" w:hanging="357"/>
      </w:pPr>
      <w:r>
        <w:t>a</w:t>
      </w:r>
      <w:r w:rsidRPr="007D034C">
        <w:t>pprov</w:t>
      </w:r>
      <w:r>
        <w:t>al</w:t>
      </w:r>
      <w:r w:rsidRPr="007D034C">
        <w:t xml:space="preserve"> and sign</w:t>
      </w:r>
      <w:r>
        <w:t xml:space="preserve">ing of </w:t>
      </w:r>
      <w:r w:rsidRPr="007D034C">
        <w:t>documents which will be necessary in legal proceedings</w:t>
      </w:r>
      <w:r>
        <w:t>;</w:t>
      </w:r>
      <w:r w:rsidR="00A91328">
        <w:t xml:space="preserve"> and </w:t>
      </w:r>
    </w:p>
    <w:p w14:paraId="474DEDC8" w14:textId="5972A517" w:rsidR="00020279" w:rsidRDefault="00020279" w:rsidP="00215372">
      <w:pPr>
        <w:pStyle w:val="BodyText"/>
        <w:numPr>
          <w:ilvl w:val="0"/>
          <w:numId w:val="23"/>
        </w:numPr>
        <w:spacing w:before="120" w:after="240" w:line="240" w:lineRule="auto"/>
        <w:ind w:left="714" w:hanging="357"/>
      </w:pPr>
      <w:r>
        <w:t xml:space="preserve">Officers </w:t>
      </w:r>
      <w:r w:rsidR="00A91328">
        <w:t xml:space="preserve">who can </w:t>
      </w:r>
      <w:r>
        <w:t xml:space="preserve">commit or spend </w:t>
      </w:r>
      <w:r w:rsidR="00A91328">
        <w:t>ICB revenue</w:t>
      </w:r>
      <w:r>
        <w:t xml:space="preserve"> resources</w:t>
      </w:r>
      <w:r w:rsidR="00A91328">
        <w:t xml:space="preserve"> in relation to settling legal matters.</w:t>
      </w:r>
      <w:r w:rsidR="003C3483">
        <w:t xml:space="preserve">   </w:t>
      </w:r>
    </w:p>
    <w:p w14:paraId="2333206C" w14:textId="759CE2F2" w:rsidR="00916C54" w:rsidRDefault="00916C54" w:rsidP="0070678C">
      <w:pPr>
        <w:pStyle w:val="Heading3Numbered"/>
      </w:pPr>
      <w:r>
        <w:lastRenderedPageBreak/>
        <w:t xml:space="preserve">Claims will be approved for </w:t>
      </w:r>
      <w:r w:rsidRPr="00615F4E">
        <w:t xml:space="preserve">defence documents and or offers of settlement in line with legal advice and NHS </w:t>
      </w:r>
      <w:r w:rsidRPr="00F37C68">
        <w:rPr>
          <w:color w:val="auto"/>
        </w:rPr>
        <w:t xml:space="preserve">Resolution advice </w:t>
      </w:r>
      <w:r>
        <w:t xml:space="preserve">as per delegated </w:t>
      </w:r>
      <w:r w:rsidR="00AF4E0E">
        <w:t>amounts.</w:t>
      </w:r>
    </w:p>
    <w:p w14:paraId="775CB52B" w14:textId="7A668F96" w:rsidR="00615F4E" w:rsidRPr="005C55A3" w:rsidRDefault="00F37C68" w:rsidP="0074740C">
      <w:pPr>
        <w:pStyle w:val="Heading3Numbered"/>
        <w:numPr>
          <w:ilvl w:val="0"/>
          <w:numId w:val="69"/>
        </w:numPr>
      </w:pPr>
      <w:r w:rsidRPr="005C55A3">
        <w:t>U</w:t>
      </w:r>
      <w:r w:rsidR="00615F4E" w:rsidRPr="005C55A3">
        <w:t>nder the value of £50k the</w:t>
      </w:r>
      <w:r w:rsidR="005C55A3">
        <w:t xml:space="preserve"> Associate Director of </w:t>
      </w:r>
      <w:r w:rsidR="002B001E">
        <w:t>Corporate Governance</w:t>
      </w:r>
      <w:r w:rsidR="00170A8E" w:rsidRPr="005C55A3">
        <w:t xml:space="preserve"> or delegated deputy</w:t>
      </w:r>
      <w:r w:rsidR="00EF139A" w:rsidRPr="005C55A3">
        <w:t>.</w:t>
      </w:r>
      <w:r w:rsidR="00170A8E" w:rsidRPr="005C55A3">
        <w:t xml:space="preserve"> </w:t>
      </w:r>
    </w:p>
    <w:p w14:paraId="364C6F45" w14:textId="04BBDFCE" w:rsidR="00916C54" w:rsidRPr="005C55A3" w:rsidRDefault="00916C54" w:rsidP="0074740C">
      <w:pPr>
        <w:pStyle w:val="Heading3Numbered"/>
        <w:numPr>
          <w:ilvl w:val="0"/>
          <w:numId w:val="69"/>
        </w:numPr>
      </w:pPr>
      <w:r w:rsidRPr="005C55A3">
        <w:t xml:space="preserve">Over £50k and less than £500k the Chief Finance Officer and relevant </w:t>
      </w:r>
      <w:r w:rsidR="00916428" w:rsidRPr="005C55A3">
        <w:t>Chief Officer</w:t>
      </w:r>
      <w:r w:rsidRPr="005C55A3">
        <w:t>.</w:t>
      </w:r>
    </w:p>
    <w:p w14:paraId="52B91CA2" w14:textId="0883AA99" w:rsidR="00615F4E" w:rsidRPr="005C55A3" w:rsidRDefault="00F37C68" w:rsidP="0074740C">
      <w:pPr>
        <w:pStyle w:val="Heading3Numbered"/>
        <w:numPr>
          <w:ilvl w:val="0"/>
          <w:numId w:val="69"/>
        </w:numPr>
      </w:pPr>
      <w:r w:rsidRPr="005C55A3">
        <w:t>O</w:t>
      </w:r>
      <w:r w:rsidR="00615F4E" w:rsidRPr="005C55A3">
        <w:t xml:space="preserve">ver the value of £500k up to £1 million the </w:t>
      </w:r>
      <w:r w:rsidR="00220CAE" w:rsidRPr="005C55A3">
        <w:t>Chief Finance Officer</w:t>
      </w:r>
      <w:r w:rsidR="00615F4E" w:rsidRPr="005C55A3">
        <w:t xml:space="preserve"> or Chief Executive Officer</w:t>
      </w:r>
      <w:r w:rsidRPr="005C55A3">
        <w:t>.</w:t>
      </w:r>
    </w:p>
    <w:p w14:paraId="6FEC7475" w14:textId="0D4C1CD3" w:rsidR="00615F4E" w:rsidRPr="005C55A3" w:rsidRDefault="00F37C68" w:rsidP="0074740C">
      <w:pPr>
        <w:pStyle w:val="Heading3Numbered"/>
        <w:numPr>
          <w:ilvl w:val="0"/>
          <w:numId w:val="69"/>
        </w:numPr>
      </w:pPr>
      <w:r w:rsidRPr="005C55A3">
        <w:t>O</w:t>
      </w:r>
      <w:r w:rsidR="00615F4E" w:rsidRPr="005C55A3">
        <w:t xml:space="preserve">ver the value of £1 million the Chief Executive Officer, </w:t>
      </w:r>
      <w:r w:rsidR="00220CAE" w:rsidRPr="005C55A3">
        <w:t>Chief Finance Officer</w:t>
      </w:r>
      <w:r w:rsidR="00615F4E" w:rsidRPr="005C55A3">
        <w:t xml:space="preserve"> and with the advice of the Chair of Audit </w:t>
      </w:r>
      <w:r w:rsidR="003C3483" w:rsidRPr="005C55A3">
        <w:t>Committee</w:t>
      </w:r>
      <w:r w:rsidR="003C3483" w:rsidRPr="005C55A3">
        <w:rPr>
          <w:strike/>
        </w:rPr>
        <w:t>.</w:t>
      </w:r>
    </w:p>
    <w:p w14:paraId="23A1FA7F" w14:textId="0555498D" w:rsidR="00615F4E" w:rsidRDefault="00615F4E" w:rsidP="00615F4E">
      <w:pPr>
        <w:pStyle w:val="Heading2Numbered"/>
        <w:spacing w:before="360"/>
        <w:ind w:left="0"/>
      </w:pPr>
      <w:bookmarkStart w:id="92" w:name="_Toc230249833"/>
      <w:r>
        <w:t>Insurance</w:t>
      </w:r>
      <w:bookmarkEnd w:id="92"/>
    </w:p>
    <w:p w14:paraId="3BCEC35C" w14:textId="14F2BCAE" w:rsidR="00DD740B" w:rsidRDefault="00615F4E" w:rsidP="0070678C">
      <w:pPr>
        <w:pStyle w:val="Heading3Numbered"/>
      </w:pPr>
      <w:r>
        <w:t>T</w:t>
      </w:r>
      <w:r w:rsidR="00DD740B" w:rsidRPr="005E01D8">
        <w:t xml:space="preserve">he </w:t>
      </w:r>
      <w:r w:rsidR="0032611D">
        <w:t>Board</w:t>
      </w:r>
      <w:r w:rsidR="00DD740B" w:rsidRPr="005E01D8">
        <w:t xml:space="preserve"> shall decide if the ICB will insure through the risk pooling schemes administered by the NHS Resolution or self-insure for some or </w:t>
      </w:r>
      <w:proofErr w:type="gramStart"/>
      <w:r w:rsidR="00DD740B" w:rsidRPr="005E01D8">
        <w:t>all of</w:t>
      </w:r>
      <w:proofErr w:type="gramEnd"/>
      <w:r w:rsidR="00DD740B" w:rsidRPr="005E01D8">
        <w:t xml:space="preserve"> the risks covered by the risk pooling schemes. </w:t>
      </w:r>
      <w:r w:rsidR="000E3E4D">
        <w:t xml:space="preserve"> </w:t>
      </w:r>
      <w:r w:rsidR="00DD740B" w:rsidRPr="005E01D8">
        <w:t xml:space="preserve">If the </w:t>
      </w:r>
      <w:r w:rsidR="0032611D">
        <w:t>Board</w:t>
      </w:r>
      <w:r w:rsidR="00DD740B" w:rsidRPr="005E01D8">
        <w:t xml:space="preserve"> decides not to use the risk pooling schemes for any of the risk areas (clinical, property and employers/third party liability) covered by the scheme this decision shall be reviewed annually.</w:t>
      </w:r>
    </w:p>
    <w:p w14:paraId="59407826" w14:textId="1608EAE6" w:rsidR="00615F4E" w:rsidRDefault="00615F4E" w:rsidP="0070678C">
      <w:pPr>
        <w:pStyle w:val="Heading3Numbered"/>
      </w:pPr>
      <w:r>
        <w:t xml:space="preserve">ICBs are advised not to buy commercial insurance to protect against risk unless it is part of a risk management strategy that is approved by the </w:t>
      </w:r>
      <w:r w:rsidR="00AB43D1">
        <w:t>Chief Executive</w:t>
      </w:r>
      <w:r>
        <w:t xml:space="preserve">.  However, </w:t>
      </w:r>
      <w:r w:rsidR="00032A3D">
        <w:t>the</w:t>
      </w:r>
      <w:r>
        <w:t xml:space="preserve"> exceptions when </w:t>
      </w:r>
      <w:r w:rsidR="00A2131A">
        <w:t>ICB</w:t>
      </w:r>
      <w:r>
        <w:t xml:space="preserve">s may </w:t>
      </w:r>
      <w:proofErr w:type="gramStart"/>
      <w:r>
        <w:t>enter into</w:t>
      </w:r>
      <w:proofErr w:type="gramEnd"/>
      <w:r>
        <w:t xml:space="preserve"> insurance arrangements </w:t>
      </w:r>
      <w:r w:rsidR="00032A3D">
        <w:t>are;</w:t>
      </w:r>
    </w:p>
    <w:p w14:paraId="194E20CD" w14:textId="7B50B59E" w:rsidR="00615F4E" w:rsidRDefault="00615F4E" w:rsidP="0074740C">
      <w:pPr>
        <w:pStyle w:val="Heading3Numbered"/>
        <w:numPr>
          <w:ilvl w:val="0"/>
          <w:numId w:val="53"/>
        </w:numPr>
      </w:pPr>
      <w:r>
        <w:t xml:space="preserve">insuring motor vehicles owned by the </w:t>
      </w:r>
      <w:r w:rsidR="00A2131A">
        <w:t>ICB</w:t>
      </w:r>
      <w:r>
        <w:t xml:space="preserve"> including insuring third party liability arising from their use;</w:t>
      </w:r>
    </w:p>
    <w:p w14:paraId="654D0787" w14:textId="5D51AE09" w:rsidR="00615F4E" w:rsidRDefault="00615F4E" w:rsidP="0074740C">
      <w:pPr>
        <w:pStyle w:val="Heading3Numbered"/>
        <w:numPr>
          <w:ilvl w:val="0"/>
          <w:numId w:val="53"/>
        </w:numPr>
      </w:pPr>
      <w:r>
        <w:t xml:space="preserve">where the </w:t>
      </w:r>
      <w:r w:rsidR="00A2131A">
        <w:t>ICB</w:t>
      </w:r>
      <w:r>
        <w:t xml:space="preserve"> is involved with a consortium in a Private Finance Initiative contract and the other consortium members require that commercial insurance arrangements are </w:t>
      </w:r>
      <w:proofErr w:type="gramStart"/>
      <w:r>
        <w:t>entered into</w:t>
      </w:r>
      <w:proofErr w:type="gramEnd"/>
      <w:r>
        <w:t xml:space="preserve">;  </w:t>
      </w:r>
    </w:p>
    <w:p w14:paraId="3A5FC31B" w14:textId="2AC1AA54" w:rsidR="00615F4E" w:rsidRDefault="00615F4E" w:rsidP="0074740C">
      <w:pPr>
        <w:pStyle w:val="Heading3Numbered"/>
        <w:numPr>
          <w:ilvl w:val="0"/>
          <w:numId w:val="53"/>
        </w:numPr>
      </w:pPr>
      <w:r>
        <w:t xml:space="preserve">where income generation activities take place. </w:t>
      </w:r>
      <w:r w:rsidR="000E3E4D">
        <w:t xml:space="preserve"> </w:t>
      </w:r>
      <w:r>
        <w:t xml:space="preserve">Income generation activities should normally be insured against all risks using commercial insurance. </w:t>
      </w:r>
      <w:r w:rsidR="000E3E4D">
        <w:t xml:space="preserve"> </w:t>
      </w:r>
      <w:r>
        <w:t xml:space="preserve">If the income generation activity is also an activity normally carried out by the </w:t>
      </w:r>
      <w:r w:rsidR="00A2131A">
        <w:t>ICB</w:t>
      </w:r>
      <w:r>
        <w:t xml:space="preserve"> for </w:t>
      </w:r>
      <w:proofErr w:type="gramStart"/>
      <w:r>
        <w:t>a</w:t>
      </w:r>
      <w:proofErr w:type="gramEnd"/>
      <w:r>
        <w:t xml:space="preserve"> NHS purpose the activity may be covered in the risk pool. Confirmation of coverage in the risk pool must be obtained from the NHS Resolution. </w:t>
      </w:r>
      <w:r w:rsidR="000E3E4D">
        <w:t xml:space="preserve"> </w:t>
      </w:r>
      <w:r>
        <w:t xml:space="preserve">In any case of doubt concerning a </w:t>
      </w:r>
      <w:r w:rsidR="00A2131A">
        <w:t>ICB</w:t>
      </w:r>
      <w:r>
        <w:t xml:space="preserve">’s powers to </w:t>
      </w:r>
      <w:proofErr w:type="gramStart"/>
      <w:r>
        <w:t>enter into</w:t>
      </w:r>
      <w:proofErr w:type="gramEnd"/>
      <w:r>
        <w:t xml:space="preserve"> commercial insurance arrangements </w:t>
      </w:r>
      <w:r w:rsidRPr="00F37C68">
        <w:rPr>
          <w:color w:val="auto"/>
        </w:rPr>
        <w:t xml:space="preserve">the </w:t>
      </w:r>
      <w:r w:rsidR="000E3E4D" w:rsidRPr="00F37C68">
        <w:rPr>
          <w:color w:val="auto"/>
        </w:rPr>
        <w:t xml:space="preserve">Chief Financial Officer </w:t>
      </w:r>
      <w:r w:rsidRPr="00F37C68">
        <w:rPr>
          <w:color w:val="auto"/>
        </w:rPr>
        <w:t xml:space="preserve">should consult the </w:t>
      </w:r>
      <w:r w:rsidR="00A10769" w:rsidRPr="00F37C68">
        <w:rPr>
          <w:color w:val="auto"/>
        </w:rPr>
        <w:t>Department of Health and Social Care</w:t>
      </w:r>
      <w:r w:rsidRPr="00F37C68">
        <w:rPr>
          <w:color w:val="auto"/>
        </w:rPr>
        <w:t>.</w:t>
      </w:r>
    </w:p>
    <w:p w14:paraId="22004339" w14:textId="14DE3A12" w:rsidR="00032A3D" w:rsidRPr="00032A3D" w:rsidRDefault="00032A3D" w:rsidP="0070678C">
      <w:pPr>
        <w:pStyle w:val="Heading3Numbered"/>
      </w:pPr>
      <w:r w:rsidRPr="00032A3D">
        <w:lastRenderedPageBreak/>
        <w:t xml:space="preserve">Where the </w:t>
      </w:r>
      <w:r w:rsidR="00A2131A">
        <w:t>Board</w:t>
      </w:r>
      <w:r w:rsidRPr="00032A3D">
        <w:t xml:space="preserve"> decides to use the risk pooling schemes administered by the NHS Resolution the Chief Finance Officer shall ensure that the arrangements </w:t>
      </w:r>
      <w:proofErr w:type="gramStart"/>
      <w:r w:rsidRPr="00032A3D">
        <w:t>entered into</w:t>
      </w:r>
      <w:proofErr w:type="gramEnd"/>
      <w:r w:rsidRPr="00032A3D">
        <w:t xml:space="preserve"> are appropriate and complementary to the risk management programme. </w:t>
      </w:r>
      <w:r w:rsidR="000E3E4D">
        <w:t xml:space="preserve"> </w:t>
      </w:r>
      <w:r w:rsidRPr="00032A3D">
        <w:t>The Chief Finance Officer shall ensure that documented procedures cover these arrangements.</w:t>
      </w:r>
    </w:p>
    <w:p w14:paraId="60AD51D6" w14:textId="13EA1656" w:rsidR="00032A3D" w:rsidRPr="00032A3D" w:rsidRDefault="00032A3D" w:rsidP="0070678C">
      <w:pPr>
        <w:pStyle w:val="Heading3Numbered"/>
      </w:pPr>
      <w:r w:rsidRPr="00032A3D">
        <w:t xml:space="preserve">Where the </w:t>
      </w:r>
      <w:r w:rsidR="00A2131A">
        <w:t>Board</w:t>
      </w:r>
      <w:r w:rsidRPr="00032A3D">
        <w:t xml:space="preserve"> decides not to use the risk pooling schemes administered by the NHS Resolution for one or other of the risks covered by the schemes, the Chief Finance Officer shall ensure that the </w:t>
      </w:r>
      <w:r w:rsidR="00A2131A">
        <w:t>Board</w:t>
      </w:r>
      <w:r w:rsidRPr="00032A3D">
        <w:t xml:space="preserve"> is informed of the nature and extent of the risks that are self-insured </w:t>
      </w:r>
      <w:proofErr w:type="gramStart"/>
      <w:r w:rsidRPr="00032A3D">
        <w:t>as a result of</w:t>
      </w:r>
      <w:proofErr w:type="gramEnd"/>
      <w:r w:rsidRPr="00032A3D">
        <w:t xml:space="preserve"> this decision. </w:t>
      </w:r>
      <w:r w:rsidR="000E3E4D">
        <w:t xml:space="preserve"> </w:t>
      </w:r>
      <w:r w:rsidRPr="00032A3D">
        <w:t xml:space="preserve">The Chief Finance Officer will draw up formal documented procedures for the management of any claims arising from third parties and payments in respect of losses which will not be reimbursed.  </w:t>
      </w:r>
    </w:p>
    <w:p w14:paraId="3FC84E70" w14:textId="0B79A7A4" w:rsidR="00032A3D" w:rsidRPr="00032A3D" w:rsidRDefault="00032A3D" w:rsidP="0070678C">
      <w:pPr>
        <w:pStyle w:val="Heading3Numbered"/>
      </w:pPr>
      <w:r w:rsidRPr="00032A3D">
        <w:t xml:space="preserve">All the risk pooling schemes require Scheme members to make some </w:t>
      </w:r>
      <w:r w:rsidRPr="00F37C68">
        <w:rPr>
          <w:color w:val="auto"/>
        </w:rPr>
        <w:t xml:space="preserve">contribution to the settlement of claims (the ‘deductible’).  The </w:t>
      </w:r>
      <w:r w:rsidR="000E3E4D" w:rsidRPr="00F37C68">
        <w:rPr>
          <w:color w:val="auto"/>
        </w:rPr>
        <w:t xml:space="preserve">Chief Financial Officer </w:t>
      </w:r>
      <w:r w:rsidRPr="00F37C68">
        <w:rPr>
          <w:color w:val="auto"/>
        </w:rPr>
        <w:t xml:space="preserve">should </w:t>
      </w:r>
      <w:r w:rsidRPr="00032A3D">
        <w:t>ensure documented procedures also cover the management of claims and payments below the deductible in each case.</w:t>
      </w:r>
    </w:p>
    <w:p w14:paraId="3779A317" w14:textId="4F2B01DF" w:rsidR="00242EB6" w:rsidRPr="00242EB6" w:rsidRDefault="00242EB6" w:rsidP="00242EB6">
      <w:pPr>
        <w:tabs>
          <w:tab w:val="left" w:pos="3922"/>
        </w:tabs>
      </w:pPr>
      <w:r>
        <w:tab/>
      </w:r>
    </w:p>
    <w:sectPr w:rsidR="00242EB6" w:rsidRPr="00242EB6" w:rsidSect="00767381">
      <w:pgSz w:w="11906" w:h="16838" w:code="9"/>
      <w:pgMar w:top="1418" w:right="1928" w:bottom="1247" w:left="1077"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E066" w14:textId="77777777" w:rsidR="00321718" w:rsidRDefault="00321718" w:rsidP="00C62674">
      <w:r>
        <w:separator/>
      </w:r>
    </w:p>
  </w:endnote>
  <w:endnote w:type="continuationSeparator" w:id="0">
    <w:p w14:paraId="4594E271" w14:textId="77777777" w:rsidR="00321718" w:rsidRDefault="00321718" w:rsidP="00C6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EC24" w14:textId="77777777" w:rsidR="00F16C8C" w:rsidRDefault="00F16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98B7" w14:textId="77777777" w:rsidR="00F16C8C" w:rsidRDefault="00F16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88F4" w14:textId="77777777" w:rsidR="00F16C8C" w:rsidRDefault="00F16C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F9B9" w14:textId="5AB18BB7" w:rsidR="007166D7" w:rsidRDefault="007166D7">
    <w:pPr>
      <w:pStyle w:val="Footer"/>
    </w:pPr>
    <w:r>
      <w:rPr>
        <w:noProof/>
      </w:rPr>
      <mc:AlternateContent>
        <mc:Choice Requires="wps">
          <w:drawing>
            <wp:anchor distT="0" distB="0" distL="114300" distR="114300" simplePos="0" relativeHeight="251659776" behindDoc="1" locked="0" layoutInCell="1" allowOverlap="1" wp14:anchorId="4A23FCCB" wp14:editId="61A5C45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B77380" id="Straight Connector 4"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mc:Fallback>
      </mc:AlternateContent>
    </w:r>
    <w:r>
      <w:fldChar w:fldCharType="begin"/>
    </w:r>
    <w:r>
      <w:instrText xml:space="preserve"> page </w:instrText>
    </w:r>
    <w:r>
      <w:fldChar w:fldCharType="separate"/>
    </w:r>
    <w:r>
      <w:rPr>
        <w:noProof/>
      </w:rPr>
      <w:t>1</w:t>
    </w:r>
    <w:r>
      <w:fldChar w:fldCharType="end"/>
    </w:r>
    <w:r>
      <w:t xml:space="preserve">  </w:t>
    </w:r>
    <w:r w:rsidRPr="00CF3E44">
      <w:rPr>
        <w:rStyle w:val="FooterPipe"/>
      </w:rPr>
      <w:t>|</w:t>
    </w:r>
    <w:r>
      <w:t xml:space="preserve">  </w:t>
    </w:r>
    <w:fldSimple w:instr=" styleref Title ">
      <w:r w:rsidR="001628E5">
        <w:rPr>
          <w:noProof/>
        </w:rPr>
        <w:t>Standing Financial Instructions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3B20" w14:textId="77777777" w:rsidR="00321718" w:rsidRDefault="00321718" w:rsidP="00C62674">
      <w:r>
        <w:separator/>
      </w:r>
    </w:p>
  </w:footnote>
  <w:footnote w:type="continuationSeparator" w:id="0">
    <w:p w14:paraId="6196D0FB" w14:textId="77777777" w:rsidR="00321718" w:rsidRDefault="00321718" w:rsidP="00C6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D1A5" w14:textId="77777777" w:rsidR="00F16C8C" w:rsidRDefault="00F16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EEBB" w14:textId="7D8C5764" w:rsidR="007166D7" w:rsidRDefault="001628E5" w:rsidP="00F16C8C">
    <w:pPr>
      <w:pStyle w:val="Header"/>
    </w:pPr>
    <w:r>
      <w:rPr>
        <w:noProof/>
      </w:rPr>
      <w:drawing>
        <wp:anchor distT="0" distB="0" distL="114300" distR="114300" simplePos="0" relativeHeight="251660800" behindDoc="0" locked="0" layoutInCell="1" allowOverlap="1" wp14:anchorId="5CE2D4ED" wp14:editId="19C8E658">
          <wp:simplePos x="0" y="0"/>
          <wp:positionH relativeFrom="page">
            <wp:posOffset>5297805</wp:posOffset>
          </wp:positionH>
          <wp:positionV relativeFrom="page">
            <wp:posOffset>319405</wp:posOffset>
          </wp:positionV>
          <wp:extent cx="1591725" cy="604911"/>
          <wp:effectExtent l="0" t="0" r="8890" b="5080"/>
          <wp:wrapNone/>
          <wp:docPr id="339865495" name="Picture 33986549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725" cy="6049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6C8C">
      <w:rPr>
        <w:noProof/>
      </w:rPr>
      <w:drawing>
        <wp:inline distT="0" distB="0" distL="0" distR="0" wp14:anchorId="6823AB2B" wp14:editId="4EF41114">
          <wp:extent cx="1519311" cy="554464"/>
          <wp:effectExtent l="0" t="0" r="5080" b="0"/>
          <wp:docPr id="319052670" name="Picture 4" descr="A blue and white logo&#10;&#10;AI-generated content may be incorrect.">
            <a:extLst xmlns:a="http://schemas.openxmlformats.org/drawingml/2006/main">
              <a:ext uri="{FF2B5EF4-FFF2-40B4-BE49-F238E27FC236}">
                <a16:creationId xmlns:a16="http://schemas.microsoft.com/office/drawing/2014/main" id="{39DF18E0-F5B5-8D16-8E0C-F26320AE63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white logo&#10;&#10;AI-generated content may be incorrect.">
                    <a:extLst>
                      <a:ext uri="{FF2B5EF4-FFF2-40B4-BE49-F238E27FC236}">
                        <a16:creationId xmlns:a16="http://schemas.microsoft.com/office/drawing/2014/main" id="{39DF18E0-F5B5-8D16-8E0C-F26320AE63B2}"/>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a:off x="0" y="0"/>
                    <a:ext cx="1523552" cy="5560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5DD6" w14:textId="77777777" w:rsidR="00F16C8C" w:rsidRDefault="00F16C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C965" w14:textId="77777777" w:rsidR="007166D7" w:rsidRDefault="00716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FE4"/>
    <w:multiLevelType w:val="hybridMultilevel"/>
    <w:tmpl w:val="7F5E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015B58"/>
    <w:multiLevelType w:val="hybridMultilevel"/>
    <w:tmpl w:val="072EB562"/>
    <w:name w:val="nhs_headings322232222222222322222222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2341E"/>
    <w:multiLevelType w:val="hybridMultilevel"/>
    <w:tmpl w:val="55F89F82"/>
    <w:name w:val="nhs_headings322232222222222322222222222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756A33"/>
    <w:multiLevelType w:val="hybridMultilevel"/>
    <w:tmpl w:val="F480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EA6684"/>
    <w:multiLevelType w:val="hybridMultilevel"/>
    <w:tmpl w:val="413A9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E937C7"/>
    <w:multiLevelType w:val="hybridMultilevel"/>
    <w:tmpl w:val="327061A6"/>
    <w:name w:val="nhs_headings32223"/>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7" w15:restartNumberingAfterBreak="0">
    <w:nsid w:val="0D105153"/>
    <w:multiLevelType w:val="hybridMultilevel"/>
    <w:tmpl w:val="42EE216A"/>
    <w:lvl w:ilvl="0" w:tplc="08090001">
      <w:start w:val="1"/>
      <w:numFmt w:val="bullet"/>
      <w:lvlText w:val=""/>
      <w:lvlJc w:val="left"/>
      <w:pPr>
        <w:ind w:left="784" w:hanging="360"/>
      </w:pPr>
      <w:rPr>
        <w:rFonts w:ascii="Symbol" w:hAnsi="Symbol" w:hint="default"/>
      </w:rPr>
    </w:lvl>
    <w:lvl w:ilvl="1" w:tplc="FFFFFFFF">
      <w:start w:val="1"/>
      <w:numFmt w:val="bullet"/>
      <w:lvlText w:val="o"/>
      <w:lvlJc w:val="left"/>
      <w:pPr>
        <w:ind w:left="1504" w:hanging="360"/>
      </w:pPr>
      <w:rPr>
        <w:rFonts w:ascii="Courier New" w:hAnsi="Courier New" w:cs="Courier New" w:hint="default"/>
      </w:rPr>
    </w:lvl>
    <w:lvl w:ilvl="2" w:tplc="FFFFFFFF">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8" w15:restartNumberingAfterBreak="0">
    <w:nsid w:val="10345FF1"/>
    <w:multiLevelType w:val="hybridMultilevel"/>
    <w:tmpl w:val="D91A3DF2"/>
    <w:name w:val="nhs_headings32223222222222232222222222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4A217A"/>
    <w:multiLevelType w:val="hybridMultilevel"/>
    <w:tmpl w:val="D7F8FBEC"/>
    <w:name w:val="nhs_headings32223222222222232222222222222232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5F4BE5"/>
    <w:multiLevelType w:val="hybridMultilevel"/>
    <w:tmpl w:val="B59A4D74"/>
    <w:name w:val="nhs_headings3222322222222223"/>
    <w:lvl w:ilvl="0" w:tplc="D76E1104">
      <w:start w:val="9"/>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A368AC"/>
    <w:multiLevelType w:val="hybridMultilevel"/>
    <w:tmpl w:val="ABEE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C173F5"/>
    <w:multiLevelType w:val="hybridMultilevel"/>
    <w:tmpl w:val="2B5E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425577"/>
    <w:multiLevelType w:val="hybridMultilevel"/>
    <w:tmpl w:val="DECA6680"/>
    <w:name w:val="nhs_headings322232222222222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6C7E3D"/>
    <w:multiLevelType w:val="hybridMultilevel"/>
    <w:tmpl w:val="6BB809F2"/>
    <w:name w:val="nhs_headings32223222222222232222222222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870B8B"/>
    <w:multiLevelType w:val="multilevel"/>
    <w:tmpl w:val="6F768AB0"/>
    <w:name w:val="nhs_headings"/>
    <w:styleLink w:val="NHSHeadings"/>
    <w:lvl w:ilvl="0">
      <w:start w:val="1"/>
      <w:numFmt w:val="decimal"/>
      <w:pStyle w:val="Heading1Numbered"/>
      <w:suff w:val="space"/>
      <w:lvlText w:val="%1."/>
      <w:lvlJc w:val="left"/>
      <w:pPr>
        <w:ind w:left="3545" w:firstLine="0"/>
      </w:pPr>
      <w:rPr>
        <w:rFonts w:hint="default"/>
      </w:rPr>
    </w:lvl>
    <w:lvl w:ilvl="1">
      <w:start w:val="1"/>
      <w:numFmt w:val="decimal"/>
      <w:pStyle w:val="Heading2Numbered"/>
      <w:suff w:val="space"/>
      <w:lvlText w:val="%1.%2"/>
      <w:lvlJc w:val="left"/>
      <w:pPr>
        <w:ind w:left="993" w:firstLine="0"/>
      </w:pPr>
      <w:rPr>
        <w:rFonts w:hint="default"/>
      </w:rPr>
    </w:lvl>
    <w:lvl w:ilvl="2">
      <w:start w:val="1"/>
      <w:numFmt w:val="decimal"/>
      <w:pStyle w:val="Heading3Numbered"/>
      <w:suff w:val="space"/>
      <w:lvlText w:val="%1.%2.%3"/>
      <w:lvlJc w:val="left"/>
      <w:pPr>
        <w:ind w:left="1276"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2BF5E28"/>
    <w:multiLevelType w:val="hybridMultilevel"/>
    <w:tmpl w:val="E51035D0"/>
    <w:name w:val="nhs_headings322232222222222322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8340E1"/>
    <w:multiLevelType w:val="hybridMultilevel"/>
    <w:tmpl w:val="89BA46D6"/>
    <w:name w:val="nhs_headings3222322222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3B82E06"/>
    <w:multiLevelType w:val="multilevel"/>
    <w:tmpl w:val="089205B6"/>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580128F"/>
    <w:multiLevelType w:val="hybridMultilevel"/>
    <w:tmpl w:val="5982447A"/>
    <w:name w:val="nhs_headings3222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5F04C24"/>
    <w:multiLevelType w:val="hybridMultilevel"/>
    <w:tmpl w:val="03B8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2F432D"/>
    <w:multiLevelType w:val="hybridMultilevel"/>
    <w:tmpl w:val="90129794"/>
    <w:name w:val="nhs_headings2"/>
    <w:lvl w:ilvl="0" w:tplc="418E5312">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654478D"/>
    <w:multiLevelType w:val="hybridMultilevel"/>
    <w:tmpl w:val="B11AE53E"/>
    <w:lvl w:ilvl="0" w:tplc="08090003">
      <w:start w:val="1"/>
      <w:numFmt w:val="bullet"/>
      <w:lvlText w:val="o"/>
      <w:lvlJc w:val="left"/>
      <w:pPr>
        <w:ind w:left="784" w:hanging="360"/>
      </w:pPr>
      <w:rPr>
        <w:rFonts w:ascii="Courier New" w:hAnsi="Courier New" w:cs="Courier New"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3" w15:restartNumberingAfterBreak="0">
    <w:nsid w:val="190A59C1"/>
    <w:multiLevelType w:val="hybridMultilevel"/>
    <w:tmpl w:val="26BEAFB6"/>
    <w:name w:val="nhs_headings3"/>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BEE3FBD"/>
    <w:multiLevelType w:val="hybridMultilevel"/>
    <w:tmpl w:val="D74ADDE0"/>
    <w:name w:val="nhs_headings322232222"/>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4AB610F"/>
    <w:multiLevelType w:val="hybridMultilevel"/>
    <w:tmpl w:val="9E70BCE2"/>
    <w:name w:val="nhs_headings3222322222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63A2F5B"/>
    <w:multiLevelType w:val="hybridMultilevel"/>
    <w:tmpl w:val="FC84140E"/>
    <w:name w:val="nhs_headings322232222222225"/>
    <w:lvl w:ilvl="0" w:tplc="E97862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6704E47"/>
    <w:multiLevelType w:val="hybridMultilevel"/>
    <w:tmpl w:val="8916AE46"/>
    <w:name w:val="nhs_headings322232222222222322222222222222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26B70115"/>
    <w:multiLevelType w:val="hybridMultilevel"/>
    <w:tmpl w:val="B950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6CF1F74"/>
    <w:multiLevelType w:val="hybridMultilevel"/>
    <w:tmpl w:val="2328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7F6D1D"/>
    <w:multiLevelType w:val="hybridMultilevel"/>
    <w:tmpl w:val="8F48400C"/>
    <w:lvl w:ilvl="0" w:tplc="08090003">
      <w:start w:val="1"/>
      <w:numFmt w:val="bullet"/>
      <w:lvlText w:val="o"/>
      <w:lvlJc w:val="left"/>
      <w:pPr>
        <w:ind w:left="1570" w:hanging="360"/>
      </w:pPr>
      <w:rPr>
        <w:rFonts w:ascii="Courier New" w:hAnsi="Courier New" w:cs="Courier New" w:hint="default"/>
      </w:rPr>
    </w:lvl>
    <w:lvl w:ilvl="1" w:tplc="08090003">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3" w15:restartNumberingAfterBreak="0">
    <w:nsid w:val="27E64E9D"/>
    <w:multiLevelType w:val="hybridMultilevel"/>
    <w:tmpl w:val="3E28D764"/>
    <w:name w:val="nhs_headings322232222222224"/>
    <w:lvl w:ilvl="0" w:tplc="69F40C7C">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112D34"/>
    <w:multiLevelType w:val="hybridMultilevel"/>
    <w:tmpl w:val="B2E22352"/>
    <w:name w:val="nhs_headings32223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9F304F9"/>
    <w:multiLevelType w:val="hybridMultilevel"/>
    <w:tmpl w:val="4B10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4A7628"/>
    <w:multiLevelType w:val="hybridMultilevel"/>
    <w:tmpl w:val="368058CE"/>
    <w:name w:val="nhs_headings322232222222222322222222223"/>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7" w15:restartNumberingAfterBreak="0">
    <w:nsid w:val="2F03429A"/>
    <w:multiLevelType w:val="hybridMultilevel"/>
    <w:tmpl w:val="9DB6D482"/>
    <w:name w:val="nhs_headings32223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1C0328"/>
    <w:multiLevelType w:val="hybridMultilevel"/>
    <w:tmpl w:val="9BF2FFD0"/>
    <w:name w:val="nhs_headings322232222222223"/>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5054A22"/>
    <w:multiLevelType w:val="hybridMultilevel"/>
    <w:tmpl w:val="95345DE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15:restartNumberingAfterBreak="0">
    <w:nsid w:val="38E200CF"/>
    <w:multiLevelType w:val="hybridMultilevel"/>
    <w:tmpl w:val="43F6AEE6"/>
    <w:name w:val="nhs_headings3222322222222223222222222222223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430BE4"/>
    <w:multiLevelType w:val="hybridMultilevel"/>
    <w:tmpl w:val="002E231C"/>
    <w:name w:val="nhs_headings322232222222222322222222222222"/>
    <w:lvl w:ilvl="0" w:tplc="3976C18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B34764D"/>
    <w:multiLevelType w:val="hybridMultilevel"/>
    <w:tmpl w:val="69B25DC6"/>
    <w:name w:val="nhs_headings32223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BD34EF2"/>
    <w:multiLevelType w:val="hybridMultilevel"/>
    <w:tmpl w:val="569616B8"/>
    <w:lvl w:ilvl="0" w:tplc="08090001">
      <w:start w:val="1"/>
      <w:numFmt w:val="bullet"/>
      <w:lvlText w:val=""/>
      <w:lvlJc w:val="left"/>
      <w:pPr>
        <w:ind w:left="720" w:hanging="360"/>
      </w:pPr>
      <w:rPr>
        <w:rFonts w:ascii="Symbol" w:hAnsi="Symbol" w:hint="default"/>
      </w:rPr>
    </w:lvl>
    <w:lvl w:ilvl="1" w:tplc="E806A9D6">
      <w:numFmt w:val="bullet"/>
      <w:lvlText w:val="•"/>
      <w:lvlJc w:val="left"/>
      <w:pPr>
        <w:ind w:left="1500" w:hanging="420"/>
      </w:pPr>
      <w:rPr>
        <w:rFonts w:ascii="Arial" w:eastAsiaTheme="maj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744EEC"/>
    <w:multiLevelType w:val="hybridMultilevel"/>
    <w:tmpl w:val="C6B6D872"/>
    <w:name w:val="nhs_headings32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F06621"/>
    <w:multiLevelType w:val="hybridMultilevel"/>
    <w:tmpl w:val="B2CA9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00E12B4"/>
    <w:multiLevelType w:val="hybridMultilevel"/>
    <w:tmpl w:val="723014B2"/>
    <w:name w:val="nhs_headings32223222222222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43F12F8C"/>
    <w:multiLevelType w:val="hybridMultilevel"/>
    <w:tmpl w:val="B6B0162A"/>
    <w:name w:val="nhs_headings32223222222222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106325"/>
    <w:multiLevelType w:val="hybridMultilevel"/>
    <w:tmpl w:val="6316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263E36"/>
    <w:multiLevelType w:val="hybridMultilevel"/>
    <w:tmpl w:val="AFEA161C"/>
    <w:name w:val="nhs_headings3222322222222223222222222222223"/>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7666AA0"/>
    <w:multiLevelType w:val="hybridMultilevel"/>
    <w:tmpl w:val="AA04FF44"/>
    <w:name w:val="nhs_headings3222322222222223222222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8430735"/>
    <w:multiLevelType w:val="hybridMultilevel"/>
    <w:tmpl w:val="4D02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9A0389"/>
    <w:multiLevelType w:val="hybridMultilevel"/>
    <w:tmpl w:val="8F44C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916083E"/>
    <w:multiLevelType w:val="hybridMultilevel"/>
    <w:tmpl w:val="A7B09700"/>
    <w:name w:val="nhs_headings32223222222222232222222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A0E4B38"/>
    <w:multiLevelType w:val="multilevel"/>
    <w:tmpl w:val="65E4417A"/>
    <w:name w:val="eod_numbers"/>
    <w:numStyleLink w:val="NHSListNumbers"/>
  </w:abstractNum>
  <w:abstractNum w:abstractNumId="55" w15:restartNumberingAfterBreak="0">
    <w:nsid w:val="4B194122"/>
    <w:multiLevelType w:val="hybridMultilevel"/>
    <w:tmpl w:val="07A23690"/>
    <w:name w:val="nhs_headings322232222222222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0EE132B"/>
    <w:multiLevelType w:val="hybridMultilevel"/>
    <w:tmpl w:val="F882322A"/>
    <w:name w:val="nhs_headings3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18946C6"/>
    <w:multiLevelType w:val="hybridMultilevel"/>
    <w:tmpl w:val="55E00ED8"/>
    <w:lvl w:ilvl="0" w:tplc="0502942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29862CB"/>
    <w:multiLevelType w:val="hybridMultilevel"/>
    <w:tmpl w:val="92B47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2F00104"/>
    <w:multiLevelType w:val="hybridMultilevel"/>
    <w:tmpl w:val="2AA09D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0" w15:restartNumberingAfterBreak="0">
    <w:nsid w:val="546E45C6"/>
    <w:multiLevelType w:val="hybridMultilevel"/>
    <w:tmpl w:val="2B2464AE"/>
    <w:name w:val="nhs_headings32223222222222"/>
    <w:lvl w:ilvl="0" w:tplc="AF164C9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55449BC"/>
    <w:multiLevelType w:val="hybridMultilevel"/>
    <w:tmpl w:val="5636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6AC3DF7"/>
    <w:multiLevelType w:val="hybridMultilevel"/>
    <w:tmpl w:val="F964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6E13F23"/>
    <w:multiLevelType w:val="hybridMultilevel"/>
    <w:tmpl w:val="E11454B2"/>
    <w:lvl w:ilvl="0" w:tplc="BD6EDA7E">
      <w:start w:val="1"/>
      <w:numFmt w:val="bullet"/>
      <w:lvlText w:val=""/>
      <w:lvlJc w:val="left"/>
      <w:pPr>
        <w:ind w:left="862" w:hanging="360"/>
      </w:pPr>
      <w:rPr>
        <w:rFonts w:ascii="Symbol" w:hAnsi="Symbol" w:hint="default"/>
        <w:sz w:val="24"/>
        <w:szCs w:val="24"/>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4" w15:restartNumberingAfterBreak="0">
    <w:nsid w:val="59F3080E"/>
    <w:multiLevelType w:val="hybridMultilevel"/>
    <w:tmpl w:val="45B23B78"/>
    <w:name w:val="nhs_headings322232222222222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AFA7881"/>
    <w:multiLevelType w:val="hybridMultilevel"/>
    <w:tmpl w:val="5E9E2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D4F6F85"/>
    <w:multiLevelType w:val="multilevel"/>
    <w:tmpl w:val="5A1EB758"/>
    <w:lvl w:ilvl="0">
      <w:start w:val="1"/>
      <w:numFmt w:val="decimal"/>
      <w:lvlText w:val="%1."/>
      <w:lvlJc w:val="left"/>
      <w:pPr>
        <w:ind w:left="360" w:hanging="360"/>
      </w:pPr>
      <w:rPr>
        <w:b/>
        <w:bCs/>
      </w:rPr>
    </w:lvl>
    <w:lvl w:ilvl="1">
      <w:start w:val="1"/>
      <w:numFmt w:val="decimal"/>
      <w:lvlText w:val="%1.%2."/>
      <w:lvlJc w:val="left"/>
      <w:pPr>
        <w:ind w:left="574"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DA07D79"/>
    <w:multiLevelType w:val="hybridMultilevel"/>
    <w:tmpl w:val="8F7273C8"/>
    <w:lvl w:ilvl="0" w:tplc="9962E51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ECF6A19"/>
    <w:multiLevelType w:val="hybridMultilevel"/>
    <w:tmpl w:val="1F0E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09B5A37"/>
    <w:multiLevelType w:val="hybridMultilevel"/>
    <w:tmpl w:val="912CCDC0"/>
    <w:name w:val="nhs_headings3222322222222223222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5C74E4A"/>
    <w:multiLevelType w:val="hybridMultilevel"/>
    <w:tmpl w:val="5BF8A1C6"/>
    <w:name w:val="nhs_headings322232222222222322222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79C17C2"/>
    <w:multiLevelType w:val="hybridMultilevel"/>
    <w:tmpl w:val="24B0E3B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2" w15:restartNumberingAfterBreak="0">
    <w:nsid w:val="6B086DC6"/>
    <w:multiLevelType w:val="hybridMultilevel"/>
    <w:tmpl w:val="443AED6A"/>
    <w:name w:val="nhs_headings32223222222222223"/>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F1422F3"/>
    <w:multiLevelType w:val="hybridMultilevel"/>
    <w:tmpl w:val="F748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0DB6304"/>
    <w:multiLevelType w:val="hybridMultilevel"/>
    <w:tmpl w:val="AEF8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2410294"/>
    <w:multiLevelType w:val="hybridMultilevel"/>
    <w:tmpl w:val="364A0A52"/>
    <w:name w:val="nhs_headings32223222222222232222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32B123E"/>
    <w:multiLevelType w:val="hybridMultilevel"/>
    <w:tmpl w:val="348E8DB0"/>
    <w:name w:val="nhs_headings322232222222222322222222222222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3944E94"/>
    <w:multiLevelType w:val="hybridMultilevel"/>
    <w:tmpl w:val="55D2C4B2"/>
    <w:name w:val="nhs_headings3222322222222222"/>
    <w:lvl w:ilvl="0" w:tplc="A29834B2">
      <w:start w:val="1"/>
      <w:numFmt w:val="lowerLetter"/>
      <w:lvlText w:val="%1."/>
      <w:lvlJc w:val="left"/>
      <w:pPr>
        <w:ind w:left="333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4C90719"/>
    <w:multiLevelType w:val="hybridMultilevel"/>
    <w:tmpl w:val="1A42B700"/>
    <w:name w:val="nhs_headings322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9" w15:restartNumberingAfterBreak="0">
    <w:nsid w:val="767E03D5"/>
    <w:multiLevelType w:val="hybridMultilevel"/>
    <w:tmpl w:val="8354925C"/>
    <w:name w:val="nhs_headings322232222222222322222222222222322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6F72691"/>
    <w:multiLevelType w:val="hybridMultilevel"/>
    <w:tmpl w:val="F8A69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9C137E4"/>
    <w:multiLevelType w:val="hybridMultilevel"/>
    <w:tmpl w:val="D274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D871A7"/>
    <w:multiLevelType w:val="hybridMultilevel"/>
    <w:tmpl w:val="E556C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21759C"/>
    <w:multiLevelType w:val="hybridMultilevel"/>
    <w:tmpl w:val="493A86FA"/>
    <w:name w:val="nhs_headings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E24058F"/>
    <w:multiLevelType w:val="hybridMultilevel"/>
    <w:tmpl w:val="D206A790"/>
    <w:name w:val="nhs_headings322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ECF0EEB"/>
    <w:multiLevelType w:val="hybridMultilevel"/>
    <w:tmpl w:val="04EE662A"/>
    <w:name w:val="nhs_headings3222322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FE5413B"/>
    <w:multiLevelType w:val="hybridMultilevel"/>
    <w:tmpl w:val="21F299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092001842">
    <w:abstractNumId w:val="18"/>
    <w:lvlOverride w:ilvl="0">
      <w:lvl w:ilvl="0">
        <w:start w:val="1"/>
        <w:numFmt w:val="bullet"/>
        <w:pStyle w:val="ListBullet"/>
        <w:lvlText w:val=""/>
        <w:lvlJc w:val="left"/>
        <w:pPr>
          <w:tabs>
            <w:tab w:val="num" w:pos="567"/>
          </w:tabs>
          <w:ind w:left="851" w:hanging="284"/>
        </w:pPr>
        <w:rPr>
          <w:rFonts w:ascii="Symbol" w:hAnsi="Symbol" w:hint="default"/>
          <w:color w:val="auto"/>
        </w:rPr>
      </w:lvl>
    </w:lvlOverride>
  </w:num>
  <w:num w:numId="2" w16cid:durableId="174803243">
    <w:abstractNumId w:val="25"/>
  </w:num>
  <w:num w:numId="3" w16cid:durableId="93673823">
    <w:abstractNumId w:val="26"/>
  </w:num>
  <w:num w:numId="4" w16cid:durableId="1103378813">
    <w:abstractNumId w:val="15"/>
    <w:lvlOverride w:ilvl="0">
      <w:lvl w:ilvl="0">
        <w:start w:val="1"/>
        <w:numFmt w:val="decimal"/>
        <w:pStyle w:val="Heading1Numbered"/>
        <w:suff w:val="space"/>
        <w:lvlText w:val="%1."/>
        <w:lvlJc w:val="left"/>
        <w:pPr>
          <w:ind w:left="8788" w:firstLine="0"/>
        </w:pPr>
        <w:rPr>
          <w:rFonts w:hint="default"/>
        </w:rPr>
      </w:lvl>
    </w:lvlOverride>
    <w:lvlOverride w:ilvl="1">
      <w:lvl w:ilvl="1">
        <w:start w:val="1"/>
        <w:numFmt w:val="decimal"/>
        <w:pStyle w:val="Heading2Numbered"/>
        <w:suff w:val="space"/>
        <w:lvlText w:val="%1.%2"/>
        <w:lvlJc w:val="left"/>
        <w:pPr>
          <w:ind w:left="1276" w:firstLine="0"/>
        </w:pPr>
        <w:rPr>
          <w:rFonts w:hint="default"/>
        </w:rPr>
      </w:lvl>
    </w:lvlOverride>
    <w:lvlOverride w:ilvl="2">
      <w:lvl w:ilvl="2">
        <w:start w:val="1"/>
        <w:numFmt w:val="decimal"/>
        <w:pStyle w:val="Heading3Numbered"/>
        <w:suff w:val="space"/>
        <w:lvlText w:val="%1.%2.%3"/>
        <w:lvlJc w:val="left"/>
        <w:pPr>
          <w:ind w:left="568" w:firstLine="0"/>
        </w:pPr>
        <w:rPr>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420836061">
    <w:abstractNumId w:val="1"/>
  </w:num>
  <w:num w:numId="6" w16cid:durableId="722753385">
    <w:abstractNumId w:val="74"/>
  </w:num>
  <w:num w:numId="7" w16cid:durableId="2075426607">
    <w:abstractNumId w:val="61"/>
  </w:num>
  <w:num w:numId="8" w16cid:durableId="468204036">
    <w:abstractNumId w:val="35"/>
  </w:num>
  <w:num w:numId="9" w16cid:durableId="1982423803">
    <w:abstractNumId w:val="22"/>
  </w:num>
  <w:num w:numId="10" w16cid:durableId="837354456">
    <w:abstractNumId w:val="4"/>
  </w:num>
  <w:num w:numId="11" w16cid:durableId="477187138">
    <w:abstractNumId w:val="31"/>
  </w:num>
  <w:num w:numId="12" w16cid:durableId="332413411">
    <w:abstractNumId w:val="80"/>
  </w:num>
  <w:num w:numId="13" w16cid:durableId="1438910812">
    <w:abstractNumId w:val="30"/>
  </w:num>
  <w:num w:numId="14" w16cid:durableId="800076251">
    <w:abstractNumId w:val="0"/>
  </w:num>
  <w:num w:numId="15" w16cid:durableId="1175806898">
    <w:abstractNumId w:val="65"/>
  </w:num>
  <w:num w:numId="16" w16cid:durableId="1105424109">
    <w:abstractNumId w:val="12"/>
  </w:num>
  <w:num w:numId="17" w16cid:durableId="918557602">
    <w:abstractNumId w:val="48"/>
  </w:num>
  <w:num w:numId="18" w16cid:durableId="1556703115">
    <w:abstractNumId w:val="20"/>
  </w:num>
  <w:num w:numId="19" w16cid:durableId="1927301941">
    <w:abstractNumId w:val="45"/>
  </w:num>
  <w:num w:numId="20" w16cid:durableId="1938321389">
    <w:abstractNumId w:val="71"/>
  </w:num>
  <w:num w:numId="21" w16cid:durableId="264726343">
    <w:abstractNumId w:val="52"/>
  </w:num>
  <w:num w:numId="22" w16cid:durableId="1535650151">
    <w:abstractNumId w:val="81"/>
  </w:num>
  <w:num w:numId="23" w16cid:durableId="14574379">
    <w:abstractNumId w:val="62"/>
  </w:num>
  <w:num w:numId="24" w16cid:durableId="1768034786">
    <w:abstractNumId w:val="73"/>
  </w:num>
  <w:num w:numId="25" w16cid:durableId="718825805">
    <w:abstractNumId w:val="51"/>
  </w:num>
  <w:num w:numId="26" w16cid:durableId="1031346035">
    <w:abstractNumId w:val="58"/>
  </w:num>
  <w:num w:numId="27" w16cid:durableId="2118018234">
    <w:abstractNumId w:val="11"/>
  </w:num>
  <w:num w:numId="28" w16cid:durableId="1353342337">
    <w:abstractNumId w:val="68"/>
  </w:num>
  <w:num w:numId="29" w16cid:durableId="125659900">
    <w:abstractNumId w:val="23"/>
  </w:num>
  <w:num w:numId="30" w16cid:durableId="189684975">
    <w:abstractNumId w:val="83"/>
  </w:num>
  <w:num w:numId="31" w16cid:durableId="346563948">
    <w:abstractNumId w:val="56"/>
  </w:num>
  <w:num w:numId="32" w16cid:durableId="328289184">
    <w:abstractNumId w:val="84"/>
  </w:num>
  <w:num w:numId="33" w16cid:durableId="754207762">
    <w:abstractNumId w:val="6"/>
  </w:num>
  <w:num w:numId="34" w16cid:durableId="1318873872">
    <w:abstractNumId w:val="19"/>
  </w:num>
  <w:num w:numId="35" w16cid:durableId="1705983731">
    <w:abstractNumId w:val="57"/>
  </w:num>
  <w:num w:numId="36" w16cid:durableId="1327708380">
    <w:abstractNumId w:val="85"/>
  </w:num>
  <w:num w:numId="37" w16cid:durableId="521826525">
    <w:abstractNumId w:val="24"/>
  </w:num>
  <w:num w:numId="38" w16cid:durableId="1603100405">
    <w:abstractNumId w:val="34"/>
  </w:num>
  <w:num w:numId="39" w16cid:durableId="386955056">
    <w:abstractNumId w:val="37"/>
  </w:num>
  <w:num w:numId="40" w16cid:durableId="228274780">
    <w:abstractNumId w:val="27"/>
  </w:num>
  <w:num w:numId="41" w16cid:durableId="1561400774">
    <w:abstractNumId w:val="17"/>
  </w:num>
  <w:num w:numId="42" w16cid:durableId="229577453">
    <w:abstractNumId w:val="60"/>
  </w:num>
  <w:num w:numId="43" w16cid:durableId="210312501">
    <w:abstractNumId w:val="46"/>
  </w:num>
  <w:num w:numId="44" w16cid:durableId="1581911347">
    <w:abstractNumId w:val="13"/>
  </w:num>
  <w:num w:numId="45" w16cid:durableId="1324118839">
    <w:abstractNumId w:val="55"/>
  </w:num>
  <w:num w:numId="46" w16cid:durableId="396635836">
    <w:abstractNumId w:val="16"/>
  </w:num>
  <w:num w:numId="47" w16cid:durableId="261765572">
    <w:abstractNumId w:val="69"/>
  </w:num>
  <w:num w:numId="48" w16cid:durableId="258107050">
    <w:abstractNumId w:val="70"/>
  </w:num>
  <w:num w:numId="49" w16cid:durableId="175309231">
    <w:abstractNumId w:val="50"/>
  </w:num>
  <w:num w:numId="50" w16cid:durableId="77799080">
    <w:abstractNumId w:val="53"/>
  </w:num>
  <w:num w:numId="51" w16cid:durableId="907615013">
    <w:abstractNumId w:val="2"/>
  </w:num>
  <w:num w:numId="52" w16cid:durableId="1056051127">
    <w:abstractNumId w:val="8"/>
  </w:num>
  <w:num w:numId="53" w16cid:durableId="1366564141">
    <w:abstractNumId w:val="14"/>
  </w:num>
  <w:num w:numId="54" w16cid:durableId="650140280">
    <w:abstractNumId w:val="3"/>
  </w:num>
  <w:num w:numId="55" w16cid:durableId="1881816930">
    <w:abstractNumId w:val="49"/>
  </w:num>
  <w:num w:numId="56" w16cid:durableId="2001345340">
    <w:abstractNumId w:val="76"/>
  </w:num>
  <w:num w:numId="57" w16cid:durableId="1203321312">
    <w:abstractNumId w:val="9"/>
  </w:num>
  <w:num w:numId="58" w16cid:durableId="1566842204">
    <w:abstractNumId w:val="79"/>
  </w:num>
  <w:num w:numId="59" w16cid:durableId="897517336">
    <w:abstractNumId w:val="15"/>
  </w:num>
  <w:num w:numId="60" w16cid:durableId="981082128">
    <w:abstractNumId w:val="43"/>
  </w:num>
  <w:num w:numId="61" w16cid:durableId="427654917">
    <w:abstractNumId w:val="32"/>
  </w:num>
  <w:num w:numId="62" w16cid:durableId="1535844557">
    <w:abstractNumId w:val="86"/>
  </w:num>
  <w:num w:numId="63" w16cid:durableId="1843009412">
    <w:abstractNumId w:val="59"/>
  </w:num>
  <w:num w:numId="64" w16cid:durableId="401367427">
    <w:abstractNumId w:val="7"/>
  </w:num>
  <w:num w:numId="65" w16cid:durableId="1578515317">
    <w:abstractNumId w:val="67"/>
  </w:num>
  <w:num w:numId="66" w16cid:durableId="475031370">
    <w:abstractNumId w:val="44"/>
  </w:num>
  <w:num w:numId="67" w16cid:durableId="839196239">
    <w:abstractNumId w:val="15"/>
    <w:lvlOverride w:ilvl="0">
      <w:startOverride w:val="8"/>
      <w:lvl w:ilvl="0">
        <w:start w:val="8"/>
        <w:numFmt w:val="decimal"/>
        <w:pStyle w:val="Heading1Numbered"/>
        <w:suff w:val="space"/>
        <w:lvlText w:val="%1."/>
        <w:lvlJc w:val="left"/>
        <w:pPr>
          <w:ind w:left="2978" w:firstLine="0"/>
        </w:pPr>
        <w:rPr>
          <w:rFonts w:hint="default"/>
        </w:rPr>
      </w:lvl>
    </w:lvlOverride>
    <w:lvlOverride w:ilvl="1">
      <w:startOverride w:val="4"/>
      <w:lvl w:ilvl="1">
        <w:start w:val="4"/>
        <w:numFmt w:val="decimal"/>
        <w:pStyle w:val="Heading2Numbered"/>
        <w:suff w:val="space"/>
        <w:lvlText w:val="%1.%2"/>
        <w:lvlJc w:val="left"/>
        <w:pPr>
          <w:ind w:left="3261" w:firstLine="0"/>
        </w:pPr>
        <w:rPr>
          <w:rFonts w:hint="default"/>
        </w:rPr>
      </w:lvl>
    </w:lvlOverride>
    <w:lvlOverride w:ilvl="2">
      <w:startOverride w:val="2"/>
      <w:lvl w:ilvl="2">
        <w:start w:val="2"/>
        <w:numFmt w:val="decimal"/>
        <w:pStyle w:val="Heading3Numbered"/>
        <w:suff w:val="space"/>
        <w:lvlText w:val="%1.%2.%3"/>
        <w:lvlJc w:val="left"/>
        <w:pPr>
          <w:ind w:left="142" w:firstLine="0"/>
        </w:pPr>
        <w:rPr>
          <w:rFonts w:hint="default"/>
        </w:rPr>
      </w:lvl>
    </w:lvlOverride>
  </w:num>
  <w:num w:numId="68" w16cid:durableId="1236861039">
    <w:abstractNumId w:val="63"/>
  </w:num>
  <w:num w:numId="69" w16cid:durableId="1836337687">
    <w:abstractNumId w:val="36"/>
  </w:num>
  <w:num w:numId="70" w16cid:durableId="1765150987">
    <w:abstractNumId w:val="5"/>
  </w:num>
  <w:num w:numId="71" w16cid:durableId="518735667">
    <w:abstractNumId w:val="28"/>
  </w:num>
  <w:num w:numId="72" w16cid:durableId="1306666063">
    <w:abstractNumId w:val="39"/>
  </w:num>
  <w:num w:numId="73" w16cid:durableId="412121157">
    <w:abstractNumId w:val="15"/>
    <w:lvlOverride w:ilvl="0">
      <w:startOverride w:val="1"/>
      <w:lvl w:ilvl="0">
        <w:start w:val="1"/>
        <w:numFmt w:val="decimal"/>
        <w:pStyle w:val="Heading1Numbered"/>
        <w:suff w:val="space"/>
        <w:lvlText w:val="%1."/>
        <w:lvlJc w:val="left"/>
        <w:pPr>
          <w:ind w:left="3545" w:firstLine="0"/>
        </w:pPr>
        <w:rPr>
          <w:rFonts w:hint="default"/>
        </w:rPr>
      </w:lvl>
    </w:lvlOverride>
    <w:lvlOverride w:ilvl="1">
      <w:startOverride w:val="1"/>
      <w:lvl w:ilvl="1">
        <w:start w:val="1"/>
        <w:numFmt w:val="decimal"/>
        <w:pStyle w:val="Heading2Numbered"/>
        <w:suff w:val="space"/>
        <w:lvlText w:val="%1.%2"/>
        <w:lvlJc w:val="left"/>
        <w:pPr>
          <w:ind w:left="993" w:firstLine="0"/>
        </w:pPr>
        <w:rPr>
          <w:rFonts w:hint="default"/>
        </w:rPr>
      </w:lvl>
    </w:lvlOverride>
    <w:lvlOverride w:ilvl="2">
      <w:startOverride w:val="1"/>
      <w:lvl w:ilvl="2">
        <w:start w:val="1"/>
        <w:numFmt w:val="decimal"/>
        <w:pStyle w:val="Heading3Numbered"/>
        <w:suff w:val="space"/>
        <w:lvlText w:val="%1.%2.%3"/>
        <w:lvlJc w:val="left"/>
        <w:pPr>
          <w:ind w:left="1276" w:firstLine="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4" w16cid:durableId="1902641500">
    <w:abstractNumId w:val="66"/>
  </w:num>
  <w:num w:numId="75" w16cid:durableId="2043705715">
    <w:abstractNumId w:val="15"/>
    <w:lvlOverride w:ilvl="0">
      <w:startOverride w:val="3"/>
      <w:lvl w:ilvl="0">
        <w:start w:val="3"/>
        <w:numFmt w:val="decimal"/>
        <w:pStyle w:val="Heading1Numbered"/>
        <w:suff w:val="space"/>
        <w:lvlText w:val="%1."/>
        <w:lvlJc w:val="left"/>
        <w:pPr>
          <w:ind w:left="0" w:firstLine="0"/>
        </w:pPr>
        <w:rPr>
          <w:rFonts w:hint="default"/>
        </w:rPr>
      </w:lvl>
    </w:lvlOverride>
    <w:lvlOverride w:ilvl="1">
      <w:startOverride w:val="2"/>
      <w:lvl w:ilvl="1">
        <w:start w:val="2"/>
        <w:numFmt w:val="decimal"/>
        <w:pStyle w:val="Heading2Numbered"/>
        <w:suff w:val="space"/>
        <w:lvlText w:val="%1.%2"/>
        <w:lvlJc w:val="left"/>
        <w:pPr>
          <w:ind w:left="0" w:firstLine="0"/>
        </w:pPr>
        <w:rPr>
          <w:rFonts w:hint="default"/>
        </w:rPr>
      </w:lvl>
    </w:lvlOverride>
    <w:lvlOverride w:ilvl="2">
      <w:startOverride w:val="4"/>
      <w:lvl w:ilvl="2">
        <w:start w:val="4"/>
        <w:numFmt w:val="decimal"/>
        <w:pStyle w:val="Heading3Numbered"/>
        <w:suff w:val="space"/>
        <w:lvlText w:val="%1.%2.%3"/>
        <w:lvlJc w:val="left"/>
        <w:pPr>
          <w:ind w:left="708" w:firstLine="0"/>
        </w:pPr>
        <w:rPr>
          <w:rFonts w:hint="default"/>
        </w:rPr>
      </w:lvl>
    </w:lvlOverride>
  </w:num>
  <w:num w:numId="76" w16cid:durableId="1295406506">
    <w:abstractNumId w:val="82"/>
  </w:num>
  <w:num w:numId="77" w16cid:durableId="1196189996">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87"/>
    <w:rsid w:val="0000212D"/>
    <w:rsid w:val="000043C9"/>
    <w:rsid w:val="00005A55"/>
    <w:rsid w:val="000179D6"/>
    <w:rsid w:val="00020279"/>
    <w:rsid w:val="0002409E"/>
    <w:rsid w:val="00024F3E"/>
    <w:rsid w:val="00024F73"/>
    <w:rsid w:val="0002529C"/>
    <w:rsid w:val="000255D3"/>
    <w:rsid w:val="00027821"/>
    <w:rsid w:val="00027BF8"/>
    <w:rsid w:val="00030013"/>
    <w:rsid w:val="00030424"/>
    <w:rsid w:val="000319AF"/>
    <w:rsid w:val="00032A3D"/>
    <w:rsid w:val="00043EBA"/>
    <w:rsid w:val="00045181"/>
    <w:rsid w:val="00046242"/>
    <w:rsid w:val="0005477E"/>
    <w:rsid w:val="000552A9"/>
    <w:rsid w:val="0005537C"/>
    <w:rsid w:val="00056312"/>
    <w:rsid w:val="0005782B"/>
    <w:rsid w:val="00057B04"/>
    <w:rsid w:val="00061354"/>
    <w:rsid w:val="00066332"/>
    <w:rsid w:val="000665A4"/>
    <w:rsid w:val="00067C00"/>
    <w:rsid w:val="00070104"/>
    <w:rsid w:val="00070894"/>
    <w:rsid w:val="000711DE"/>
    <w:rsid w:val="0007322F"/>
    <w:rsid w:val="000749A9"/>
    <w:rsid w:val="00080805"/>
    <w:rsid w:val="00083FE6"/>
    <w:rsid w:val="00086D7E"/>
    <w:rsid w:val="00087297"/>
    <w:rsid w:val="00087E2E"/>
    <w:rsid w:val="00087FD8"/>
    <w:rsid w:val="00090076"/>
    <w:rsid w:val="000924C5"/>
    <w:rsid w:val="00094DC1"/>
    <w:rsid w:val="000A28E7"/>
    <w:rsid w:val="000A4246"/>
    <w:rsid w:val="000A4C1F"/>
    <w:rsid w:val="000A5CDE"/>
    <w:rsid w:val="000B1A7F"/>
    <w:rsid w:val="000B1BF6"/>
    <w:rsid w:val="000B2A87"/>
    <w:rsid w:val="000B4040"/>
    <w:rsid w:val="000B7D9F"/>
    <w:rsid w:val="000C22EE"/>
    <w:rsid w:val="000C7251"/>
    <w:rsid w:val="000C7D17"/>
    <w:rsid w:val="000D10F9"/>
    <w:rsid w:val="000D4CB2"/>
    <w:rsid w:val="000D71D9"/>
    <w:rsid w:val="000D72F2"/>
    <w:rsid w:val="000D7BBD"/>
    <w:rsid w:val="000E01B3"/>
    <w:rsid w:val="000E06D6"/>
    <w:rsid w:val="000E16AB"/>
    <w:rsid w:val="000E1FF7"/>
    <w:rsid w:val="000E216F"/>
    <w:rsid w:val="000E2D95"/>
    <w:rsid w:val="000E3CCA"/>
    <w:rsid w:val="000E3E4D"/>
    <w:rsid w:val="000E4566"/>
    <w:rsid w:val="000E78BA"/>
    <w:rsid w:val="000F0D5C"/>
    <w:rsid w:val="000F40F9"/>
    <w:rsid w:val="000F55EC"/>
    <w:rsid w:val="000F73C8"/>
    <w:rsid w:val="000F7974"/>
    <w:rsid w:val="0010023C"/>
    <w:rsid w:val="001027EC"/>
    <w:rsid w:val="00106B6E"/>
    <w:rsid w:val="00106B94"/>
    <w:rsid w:val="001131CF"/>
    <w:rsid w:val="0011344A"/>
    <w:rsid w:val="00113933"/>
    <w:rsid w:val="00113C76"/>
    <w:rsid w:val="00115001"/>
    <w:rsid w:val="0011749E"/>
    <w:rsid w:val="001213CD"/>
    <w:rsid w:val="001218F4"/>
    <w:rsid w:val="001241F4"/>
    <w:rsid w:val="00125710"/>
    <w:rsid w:val="00127FD0"/>
    <w:rsid w:val="00136DA4"/>
    <w:rsid w:val="0014017A"/>
    <w:rsid w:val="00140CD3"/>
    <w:rsid w:val="00141059"/>
    <w:rsid w:val="00142FC3"/>
    <w:rsid w:val="00143A46"/>
    <w:rsid w:val="0014750B"/>
    <w:rsid w:val="0015100E"/>
    <w:rsid w:val="001576FD"/>
    <w:rsid w:val="0016281C"/>
    <w:rsid w:val="001628E5"/>
    <w:rsid w:val="00166A46"/>
    <w:rsid w:val="0016726D"/>
    <w:rsid w:val="00170A8E"/>
    <w:rsid w:val="001710BF"/>
    <w:rsid w:val="00171ABE"/>
    <w:rsid w:val="00173BA5"/>
    <w:rsid w:val="00177D84"/>
    <w:rsid w:val="00182D83"/>
    <w:rsid w:val="0018547C"/>
    <w:rsid w:val="001909E7"/>
    <w:rsid w:val="00196E41"/>
    <w:rsid w:val="001A060F"/>
    <w:rsid w:val="001A3CB6"/>
    <w:rsid w:val="001A3D7E"/>
    <w:rsid w:val="001A4E95"/>
    <w:rsid w:val="001B0C4A"/>
    <w:rsid w:val="001B6590"/>
    <w:rsid w:val="001B6D60"/>
    <w:rsid w:val="001B7761"/>
    <w:rsid w:val="001C0072"/>
    <w:rsid w:val="001C13DB"/>
    <w:rsid w:val="001C2A87"/>
    <w:rsid w:val="001D1A57"/>
    <w:rsid w:val="001D26D8"/>
    <w:rsid w:val="001D7537"/>
    <w:rsid w:val="001E0A67"/>
    <w:rsid w:val="001E1BB4"/>
    <w:rsid w:val="001E5EB5"/>
    <w:rsid w:val="001E648E"/>
    <w:rsid w:val="001E7A4D"/>
    <w:rsid w:val="001F0624"/>
    <w:rsid w:val="001F4B8B"/>
    <w:rsid w:val="001F74ED"/>
    <w:rsid w:val="001F7E68"/>
    <w:rsid w:val="00200390"/>
    <w:rsid w:val="0020380E"/>
    <w:rsid w:val="00212C98"/>
    <w:rsid w:val="0021516C"/>
    <w:rsid w:val="00215372"/>
    <w:rsid w:val="0021738A"/>
    <w:rsid w:val="002178F4"/>
    <w:rsid w:val="00220CAE"/>
    <w:rsid w:val="002214E1"/>
    <w:rsid w:val="0022416A"/>
    <w:rsid w:val="00224238"/>
    <w:rsid w:val="00224B11"/>
    <w:rsid w:val="00226478"/>
    <w:rsid w:val="002264EC"/>
    <w:rsid w:val="0023516A"/>
    <w:rsid w:val="00240227"/>
    <w:rsid w:val="00242EB6"/>
    <w:rsid w:val="002438F1"/>
    <w:rsid w:val="00243AC0"/>
    <w:rsid w:val="00244831"/>
    <w:rsid w:val="00244BB6"/>
    <w:rsid w:val="00246EC2"/>
    <w:rsid w:val="00246FF7"/>
    <w:rsid w:val="002475B2"/>
    <w:rsid w:val="00250836"/>
    <w:rsid w:val="002531F5"/>
    <w:rsid w:val="002543F4"/>
    <w:rsid w:val="00254CE2"/>
    <w:rsid w:val="002604A9"/>
    <w:rsid w:val="00260A41"/>
    <w:rsid w:val="00262514"/>
    <w:rsid w:val="00262904"/>
    <w:rsid w:val="00266865"/>
    <w:rsid w:val="002668BB"/>
    <w:rsid w:val="00267006"/>
    <w:rsid w:val="00270BD9"/>
    <w:rsid w:val="0027399B"/>
    <w:rsid w:val="00274B70"/>
    <w:rsid w:val="00275403"/>
    <w:rsid w:val="00280FFE"/>
    <w:rsid w:val="00281427"/>
    <w:rsid w:val="00282710"/>
    <w:rsid w:val="002833CC"/>
    <w:rsid w:val="002840E1"/>
    <w:rsid w:val="0028425C"/>
    <w:rsid w:val="00284BBC"/>
    <w:rsid w:val="002856DE"/>
    <w:rsid w:val="00290CEF"/>
    <w:rsid w:val="00292C02"/>
    <w:rsid w:val="0029332D"/>
    <w:rsid w:val="00295100"/>
    <w:rsid w:val="002965F7"/>
    <w:rsid w:val="002A00D2"/>
    <w:rsid w:val="002A22B5"/>
    <w:rsid w:val="002A3A22"/>
    <w:rsid w:val="002A483B"/>
    <w:rsid w:val="002A6450"/>
    <w:rsid w:val="002B001E"/>
    <w:rsid w:val="002B0767"/>
    <w:rsid w:val="002B4692"/>
    <w:rsid w:val="002B4834"/>
    <w:rsid w:val="002B5C82"/>
    <w:rsid w:val="002B5DE4"/>
    <w:rsid w:val="002B6418"/>
    <w:rsid w:val="002B76A0"/>
    <w:rsid w:val="002C1BF8"/>
    <w:rsid w:val="002C40D2"/>
    <w:rsid w:val="002C47F2"/>
    <w:rsid w:val="002C7EDA"/>
    <w:rsid w:val="002D119B"/>
    <w:rsid w:val="002D1C71"/>
    <w:rsid w:val="002D6448"/>
    <w:rsid w:val="002D6ADF"/>
    <w:rsid w:val="002D6BF8"/>
    <w:rsid w:val="002E0139"/>
    <w:rsid w:val="002E4DC6"/>
    <w:rsid w:val="002E61B1"/>
    <w:rsid w:val="002E7730"/>
    <w:rsid w:val="002F2084"/>
    <w:rsid w:val="002F4D6E"/>
    <w:rsid w:val="002F5371"/>
    <w:rsid w:val="00300658"/>
    <w:rsid w:val="00300FAB"/>
    <w:rsid w:val="0030163D"/>
    <w:rsid w:val="003017EF"/>
    <w:rsid w:val="003035BE"/>
    <w:rsid w:val="00304003"/>
    <w:rsid w:val="0030692D"/>
    <w:rsid w:val="003147E3"/>
    <w:rsid w:val="00316B4E"/>
    <w:rsid w:val="00321718"/>
    <w:rsid w:val="00324EA2"/>
    <w:rsid w:val="0032611D"/>
    <w:rsid w:val="003261F6"/>
    <w:rsid w:val="00326D53"/>
    <w:rsid w:val="003273B5"/>
    <w:rsid w:val="003312DD"/>
    <w:rsid w:val="00334549"/>
    <w:rsid w:val="00335708"/>
    <w:rsid w:val="00336585"/>
    <w:rsid w:val="00336F62"/>
    <w:rsid w:val="00342429"/>
    <w:rsid w:val="0034460C"/>
    <w:rsid w:val="003506FF"/>
    <w:rsid w:val="00353739"/>
    <w:rsid w:val="00354424"/>
    <w:rsid w:val="0036091A"/>
    <w:rsid w:val="0036117F"/>
    <w:rsid w:val="003622C3"/>
    <w:rsid w:val="00362EF0"/>
    <w:rsid w:val="00363DDC"/>
    <w:rsid w:val="00365AAD"/>
    <w:rsid w:val="00372A6C"/>
    <w:rsid w:val="003771CA"/>
    <w:rsid w:val="003773DC"/>
    <w:rsid w:val="00380398"/>
    <w:rsid w:val="00382E56"/>
    <w:rsid w:val="0038720D"/>
    <w:rsid w:val="00387A4F"/>
    <w:rsid w:val="003913B6"/>
    <w:rsid w:val="00391498"/>
    <w:rsid w:val="003A0150"/>
    <w:rsid w:val="003A2F83"/>
    <w:rsid w:val="003A577B"/>
    <w:rsid w:val="003A5902"/>
    <w:rsid w:val="003A759C"/>
    <w:rsid w:val="003B024A"/>
    <w:rsid w:val="003B0A2C"/>
    <w:rsid w:val="003B4FE8"/>
    <w:rsid w:val="003B585E"/>
    <w:rsid w:val="003B6444"/>
    <w:rsid w:val="003B6559"/>
    <w:rsid w:val="003B6EFE"/>
    <w:rsid w:val="003B7577"/>
    <w:rsid w:val="003B78F5"/>
    <w:rsid w:val="003C3483"/>
    <w:rsid w:val="003C4C46"/>
    <w:rsid w:val="003C56CE"/>
    <w:rsid w:val="003C5838"/>
    <w:rsid w:val="003C5DC7"/>
    <w:rsid w:val="003D0818"/>
    <w:rsid w:val="003D1AFE"/>
    <w:rsid w:val="003D3510"/>
    <w:rsid w:val="003D59B3"/>
    <w:rsid w:val="003D681F"/>
    <w:rsid w:val="003D6D68"/>
    <w:rsid w:val="003E45DC"/>
    <w:rsid w:val="003F04F9"/>
    <w:rsid w:val="003F0ECB"/>
    <w:rsid w:val="003F3405"/>
    <w:rsid w:val="003F3B2A"/>
    <w:rsid w:val="003F46F5"/>
    <w:rsid w:val="003F55ED"/>
    <w:rsid w:val="003F76DC"/>
    <w:rsid w:val="00401AFA"/>
    <w:rsid w:val="0040233D"/>
    <w:rsid w:val="004042A4"/>
    <w:rsid w:val="00411C99"/>
    <w:rsid w:val="004129DD"/>
    <w:rsid w:val="004147F5"/>
    <w:rsid w:val="00416E0E"/>
    <w:rsid w:val="00417276"/>
    <w:rsid w:val="004175C0"/>
    <w:rsid w:val="00420AFD"/>
    <w:rsid w:val="00421C16"/>
    <w:rsid w:val="0042796B"/>
    <w:rsid w:val="00431724"/>
    <w:rsid w:val="004330D7"/>
    <w:rsid w:val="00436106"/>
    <w:rsid w:val="00441506"/>
    <w:rsid w:val="0044163F"/>
    <w:rsid w:val="00442E1D"/>
    <w:rsid w:val="004432A2"/>
    <w:rsid w:val="00443701"/>
    <w:rsid w:val="004458C2"/>
    <w:rsid w:val="004468F8"/>
    <w:rsid w:val="00447349"/>
    <w:rsid w:val="00447BC1"/>
    <w:rsid w:val="0045066F"/>
    <w:rsid w:val="00453910"/>
    <w:rsid w:val="00455F44"/>
    <w:rsid w:val="00460D5A"/>
    <w:rsid w:val="004618A2"/>
    <w:rsid w:val="0046197D"/>
    <w:rsid w:val="00467368"/>
    <w:rsid w:val="004674E6"/>
    <w:rsid w:val="0047021A"/>
    <w:rsid w:val="00474C9B"/>
    <w:rsid w:val="004773A2"/>
    <w:rsid w:val="00481B8B"/>
    <w:rsid w:val="00486D53"/>
    <w:rsid w:val="004905FD"/>
    <w:rsid w:val="00495CC5"/>
    <w:rsid w:val="004960D8"/>
    <w:rsid w:val="004A3AA3"/>
    <w:rsid w:val="004A3B1E"/>
    <w:rsid w:val="004B1735"/>
    <w:rsid w:val="004B1E6E"/>
    <w:rsid w:val="004B459C"/>
    <w:rsid w:val="004B72DD"/>
    <w:rsid w:val="004C1437"/>
    <w:rsid w:val="004C1E2A"/>
    <w:rsid w:val="004C6723"/>
    <w:rsid w:val="004C6895"/>
    <w:rsid w:val="004C6FFA"/>
    <w:rsid w:val="004C7CB4"/>
    <w:rsid w:val="004D1223"/>
    <w:rsid w:val="004D2762"/>
    <w:rsid w:val="004D6298"/>
    <w:rsid w:val="004D64A2"/>
    <w:rsid w:val="004D6EEF"/>
    <w:rsid w:val="004E25B7"/>
    <w:rsid w:val="004F2BA1"/>
    <w:rsid w:val="004F325B"/>
    <w:rsid w:val="004F4887"/>
    <w:rsid w:val="004F4A8D"/>
    <w:rsid w:val="004F6009"/>
    <w:rsid w:val="004F6A66"/>
    <w:rsid w:val="004F6A90"/>
    <w:rsid w:val="004F7A8E"/>
    <w:rsid w:val="004F7E3E"/>
    <w:rsid w:val="005060B7"/>
    <w:rsid w:val="005076AB"/>
    <w:rsid w:val="00510CDF"/>
    <w:rsid w:val="00512864"/>
    <w:rsid w:val="00513D1D"/>
    <w:rsid w:val="00514981"/>
    <w:rsid w:val="00514CB8"/>
    <w:rsid w:val="005156FA"/>
    <w:rsid w:val="00516192"/>
    <w:rsid w:val="00517FAF"/>
    <w:rsid w:val="005210AE"/>
    <w:rsid w:val="00522065"/>
    <w:rsid w:val="00523161"/>
    <w:rsid w:val="00523DE4"/>
    <w:rsid w:val="005243D3"/>
    <w:rsid w:val="00524BE4"/>
    <w:rsid w:val="00524EDA"/>
    <w:rsid w:val="005267D1"/>
    <w:rsid w:val="005304DB"/>
    <w:rsid w:val="00531550"/>
    <w:rsid w:val="00533FB1"/>
    <w:rsid w:val="00534D4A"/>
    <w:rsid w:val="005350E2"/>
    <w:rsid w:val="00540DD4"/>
    <w:rsid w:val="005422F1"/>
    <w:rsid w:val="00542AC6"/>
    <w:rsid w:val="0054330C"/>
    <w:rsid w:val="005461D8"/>
    <w:rsid w:val="00546B33"/>
    <w:rsid w:val="0055406D"/>
    <w:rsid w:val="00554AE3"/>
    <w:rsid w:val="00556ABB"/>
    <w:rsid w:val="00562CBF"/>
    <w:rsid w:val="00562E79"/>
    <w:rsid w:val="00563575"/>
    <w:rsid w:val="00563E89"/>
    <w:rsid w:val="00564488"/>
    <w:rsid w:val="005662C6"/>
    <w:rsid w:val="00570BC3"/>
    <w:rsid w:val="00572AFD"/>
    <w:rsid w:val="0057412C"/>
    <w:rsid w:val="0057417B"/>
    <w:rsid w:val="00574B74"/>
    <w:rsid w:val="0057765B"/>
    <w:rsid w:val="005806C1"/>
    <w:rsid w:val="0058156B"/>
    <w:rsid w:val="00582244"/>
    <w:rsid w:val="0058517B"/>
    <w:rsid w:val="00585278"/>
    <w:rsid w:val="0058654D"/>
    <w:rsid w:val="005875A9"/>
    <w:rsid w:val="00587FA1"/>
    <w:rsid w:val="00590122"/>
    <w:rsid w:val="00591073"/>
    <w:rsid w:val="00592879"/>
    <w:rsid w:val="00595DF8"/>
    <w:rsid w:val="005A3A86"/>
    <w:rsid w:val="005A475E"/>
    <w:rsid w:val="005A640B"/>
    <w:rsid w:val="005B0FE8"/>
    <w:rsid w:val="005B16BA"/>
    <w:rsid w:val="005B361E"/>
    <w:rsid w:val="005B5997"/>
    <w:rsid w:val="005B62F2"/>
    <w:rsid w:val="005C0646"/>
    <w:rsid w:val="005C12D6"/>
    <w:rsid w:val="005C55A3"/>
    <w:rsid w:val="005D1CFC"/>
    <w:rsid w:val="005D4293"/>
    <w:rsid w:val="005D6E20"/>
    <w:rsid w:val="005D72EB"/>
    <w:rsid w:val="005E01D8"/>
    <w:rsid w:val="005E129A"/>
    <w:rsid w:val="005E1968"/>
    <w:rsid w:val="005E2867"/>
    <w:rsid w:val="005E3230"/>
    <w:rsid w:val="005E4CF5"/>
    <w:rsid w:val="005E76C1"/>
    <w:rsid w:val="005F429A"/>
    <w:rsid w:val="005F4852"/>
    <w:rsid w:val="005F5609"/>
    <w:rsid w:val="005F5DCB"/>
    <w:rsid w:val="005F6621"/>
    <w:rsid w:val="0060245D"/>
    <w:rsid w:val="006051A9"/>
    <w:rsid w:val="006055D8"/>
    <w:rsid w:val="00606AA1"/>
    <w:rsid w:val="00610B63"/>
    <w:rsid w:val="0061299F"/>
    <w:rsid w:val="00612A6D"/>
    <w:rsid w:val="00615F4E"/>
    <w:rsid w:val="00617C7C"/>
    <w:rsid w:val="0062066C"/>
    <w:rsid w:val="00622F80"/>
    <w:rsid w:val="0062304A"/>
    <w:rsid w:val="00623063"/>
    <w:rsid w:val="00625C6B"/>
    <w:rsid w:val="00627003"/>
    <w:rsid w:val="00627CE0"/>
    <w:rsid w:val="00630977"/>
    <w:rsid w:val="00630B42"/>
    <w:rsid w:val="00630E96"/>
    <w:rsid w:val="00632861"/>
    <w:rsid w:val="006329FE"/>
    <w:rsid w:val="006346A3"/>
    <w:rsid w:val="006357D7"/>
    <w:rsid w:val="00637C6A"/>
    <w:rsid w:val="0064357A"/>
    <w:rsid w:val="00643CAB"/>
    <w:rsid w:val="00646123"/>
    <w:rsid w:val="0064622F"/>
    <w:rsid w:val="00651877"/>
    <w:rsid w:val="00652E51"/>
    <w:rsid w:val="00656A16"/>
    <w:rsid w:val="00660D58"/>
    <w:rsid w:val="00660F28"/>
    <w:rsid w:val="0066362B"/>
    <w:rsid w:val="00666B18"/>
    <w:rsid w:val="00667CF9"/>
    <w:rsid w:val="00670335"/>
    <w:rsid w:val="006723C5"/>
    <w:rsid w:val="00674328"/>
    <w:rsid w:val="00675026"/>
    <w:rsid w:val="0067577A"/>
    <w:rsid w:val="00682855"/>
    <w:rsid w:val="00682FC3"/>
    <w:rsid w:val="00683854"/>
    <w:rsid w:val="00683F54"/>
    <w:rsid w:val="00684BA3"/>
    <w:rsid w:val="00687E13"/>
    <w:rsid w:val="006905C7"/>
    <w:rsid w:val="00697B87"/>
    <w:rsid w:val="006A07B3"/>
    <w:rsid w:val="006A0C16"/>
    <w:rsid w:val="006A1214"/>
    <w:rsid w:val="006B096A"/>
    <w:rsid w:val="006B0A77"/>
    <w:rsid w:val="006B1894"/>
    <w:rsid w:val="006B2054"/>
    <w:rsid w:val="006B295A"/>
    <w:rsid w:val="006B3373"/>
    <w:rsid w:val="006B5401"/>
    <w:rsid w:val="006C0CBA"/>
    <w:rsid w:val="006C6033"/>
    <w:rsid w:val="006C7EF1"/>
    <w:rsid w:val="006D1402"/>
    <w:rsid w:val="006D4369"/>
    <w:rsid w:val="006D460A"/>
    <w:rsid w:val="006D7A79"/>
    <w:rsid w:val="006E3396"/>
    <w:rsid w:val="006E6934"/>
    <w:rsid w:val="006F354A"/>
    <w:rsid w:val="006F40AA"/>
    <w:rsid w:val="006F525F"/>
    <w:rsid w:val="006F6AEF"/>
    <w:rsid w:val="00700833"/>
    <w:rsid w:val="00701F21"/>
    <w:rsid w:val="00702288"/>
    <w:rsid w:val="00702CA1"/>
    <w:rsid w:val="00706271"/>
    <w:rsid w:val="0070678C"/>
    <w:rsid w:val="007107DF"/>
    <w:rsid w:val="00711381"/>
    <w:rsid w:val="007114C0"/>
    <w:rsid w:val="007166D7"/>
    <w:rsid w:val="0071719B"/>
    <w:rsid w:val="007205EA"/>
    <w:rsid w:val="007208A0"/>
    <w:rsid w:val="007225AF"/>
    <w:rsid w:val="0072512C"/>
    <w:rsid w:val="007279E5"/>
    <w:rsid w:val="00734D43"/>
    <w:rsid w:val="0073686E"/>
    <w:rsid w:val="0073764D"/>
    <w:rsid w:val="0074740C"/>
    <w:rsid w:val="00747FE5"/>
    <w:rsid w:val="007509B1"/>
    <w:rsid w:val="00751ADD"/>
    <w:rsid w:val="007542A0"/>
    <w:rsid w:val="0075574F"/>
    <w:rsid w:val="007564AC"/>
    <w:rsid w:val="00761A9C"/>
    <w:rsid w:val="00764EBE"/>
    <w:rsid w:val="00767381"/>
    <w:rsid w:val="00772179"/>
    <w:rsid w:val="00772EB5"/>
    <w:rsid w:val="00775511"/>
    <w:rsid w:val="00777419"/>
    <w:rsid w:val="0078063A"/>
    <w:rsid w:val="007808F8"/>
    <w:rsid w:val="00780AAD"/>
    <w:rsid w:val="00781DE1"/>
    <w:rsid w:val="00782F73"/>
    <w:rsid w:val="0078545D"/>
    <w:rsid w:val="0079085D"/>
    <w:rsid w:val="00793757"/>
    <w:rsid w:val="00795D08"/>
    <w:rsid w:val="00796DEC"/>
    <w:rsid w:val="00797721"/>
    <w:rsid w:val="00797EDB"/>
    <w:rsid w:val="007A0947"/>
    <w:rsid w:val="007A3DB2"/>
    <w:rsid w:val="007A5E96"/>
    <w:rsid w:val="007A7278"/>
    <w:rsid w:val="007B16B9"/>
    <w:rsid w:val="007B572F"/>
    <w:rsid w:val="007C57D8"/>
    <w:rsid w:val="007C73CB"/>
    <w:rsid w:val="007D034C"/>
    <w:rsid w:val="007D0F33"/>
    <w:rsid w:val="007D2E01"/>
    <w:rsid w:val="007D7E39"/>
    <w:rsid w:val="007E047C"/>
    <w:rsid w:val="007F05BA"/>
    <w:rsid w:val="007F1437"/>
    <w:rsid w:val="007F2E69"/>
    <w:rsid w:val="007F308D"/>
    <w:rsid w:val="007F4ABB"/>
    <w:rsid w:val="007F4FA9"/>
    <w:rsid w:val="007F4FAD"/>
    <w:rsid w:val="007F5A5E"/>
    <w:rsid w:val="007F6E18"/>
    <w:rsid w:val="008000C1"/>
    <w:rsid w:val="00801E25"/>
    <w:rsid w:val="008029ED"/>
    <w:rsid w:val="00802E21"/>
    <w:rsid w:val="00803C48"/>
    <w:rsid w:val="00804146"/>
    <w:rsid w:val="00805568"/>
    <w:rsid w:val="00805895"/>
    <w:rsid w:val="00806C40"/>
    <w:rsid w:val="008118B8"/>
    <w:rsid w:val="00811CAA"/>
    <w:rsid w:val="008141EE"/>
    <w:rsid w:val="008153C0"/>
    <w:rsid w:val="008208FC"/>
    <w:rsid w:val="0082343A"/>
    <w:rsid w:val="00823597"/>
    <w:rsid w:val="0082380A"/>
    <w:rsid w:val="0082630A"/>
    <w:rsid w:val="008316B9"/>
    <w:rsid w:val="00833395"/>
    <w:rsid w:val="008375B8"/>
    <w:rsid w:val="00837FAC"/>
    <w:rsid w:val="00840C5A"/>
    <w:rsid w:val="0084135D"/>
    <w:rsid w:val="00842AC2"/>
    <w:rsid w:val="00842F6A"/>
    <w:rsid w:val="00846FCF"/>
    <w:rsid w:val="008473E4"/>
    <w:rsid w:val="00851563"/>
    <w:rsid w:val="00853BF7"/>
    <w:rsid w:val="00856248"/>
    <w:rsid w:val="00862170"/>
    <w:rsid w:val="008629AD"/>
    <w:rsid w:val="00862C91"/>
    <w:rsid w:val="008654BE"/>
    <w:rsid w:val="00871278"/>
    <w:rsid w:val="00873124"/>
    <w:rsid w:val="008743BA"/>
    <w:rsid w:val="00876072"/>
    <w:rsid w:val="00876E3C"/>
    <w:rsid w:val="008774F7"/>
    <w:rsid w:val="0088047D"/>
    <w:rsid w:val="008846CF"/>
    <w:rsid w:val="00885268"/>
    <w:rsid w:val="0088723E"/>
    <w:rsid w:val="00890E31"/>
    <w:rsid w:val="0089559F"/>
    <w:rsid w:val="00895954"/>
    <w:rsid w:val="00897B08"/>
    <w:rsid w:val="008A03E3"/>
    <w:rsid w:val="008A2B3A"/>
    <w:rsid w:val="008A4975"/>
    <w:rsid w:val="008A6AC4"/>
    <w:rsid w:val="008B217E"/>
    <w:rsid w:val="008B420B"/>
    <w:rsid w:val="008B4ACE"/>
    <w:rsid w:val="008C239D"/>
    <w:rsid w:val="008C291E"/>
    <w:rsid w:val="008C2BEE"/>
    <w:rsid w:val="008C4790"/>
    <w:rsid w:val="008C78FA"/>
    <w:rsid w:val="008D03C2"/>
    <w:rsid w:val="008D30DE"/>
    <w:rsid w:val="008D3626"/>
    <w:rsid w:val="008D3A4E"/>
    <w:rsid w:val="008E13B9"/>
    <w:rsid w:val="008E2795"/>
    <w:rsid w:val="008E3DCB"/>
    <w:rsid w:val="008E4666"/>
    <w:rsid w:val="008E4699"/>
    <w:rsid w:val="008E4B3D"/>
    <w:rsid w:val="008E6AE9"/>
    <w:rsid w:val="008F1592"/>
    <w:rsid w:val="008F333A"/>
    <w:rsid w:val="008F5727"/>
    <w:rsid w:val="008F7C51"/>
    <w:rsid w:val="00900DEC"/>
    <w:rsid w:val="00901924"/>
    <w:rsid w:val="00901DB3"/>
    <w:rsid w:val="0090216D"/>
    <w:rsid w:val="009044BB"/>
    <w:rsid w:val="00905D05"/>
    <w:rsid w:val="00912F68"/>
    <w:rsid w:val="00916153"/>
    <w:rsid w:val="00916428"/>
    <w:rsid w:val="00916C54"/>
    <w:rsid w:val="00917E5F"/>
    <w:rsid w:val="00926795"/>
    <w:rsid w:val="00930321"/>
    <w:rsid w:val="00931243"/>
    <w:rsid w:val="0093628E"/>
    <w:rsid w:val="009367AC"/>
    <w:rsid w:val="00936B23"/>
    <w:rsid w:val="009424A4"/>
    <w:rsid w:val="00943B57"/>
    <w:rsid w:val="00947295"/>
    <w:rsid w:val="009474AA"/>
    <w:rsid w:val="009518DC"/>
    <w:rsid w:val="009539AC"/>
    <w:rsid w:val="009555C2"/>
    <w:rsid w:val="009667DC"/>
    <w:rsid w:val="00966D67"/>
    <w:rsid w:val="009721B7"/>
    <w:rsid w:val="00972BAC"/>
    <w:rsid w:val="009732E2"/>
    <w:rsid w:val="00974034"/>
    <w:rsid w:val="00975B85"/>
    <w:rsid w:val="00981245"/>
    <w:rsid w:val="00984D46"/>
    <w:rsid w:val="009873D9"/>
    <w:rsid w:val="00987C6A"/>
    <w:rsid w:val="00991A82"/>
    <w:rsid w:val="00994709"/>
    <w:rsid w:val="00995D7F"/>
    <w:rsid w:val="00996954"/>
    <w:rsid w:val="00997AE4"/>
    <w:rsid w:val="00997D10"/>
    <w:rsid w:val="009A120A"/>
    <w:rsid w:val="009A1A5D"/>
    <w:rsid w:val="009A2D09"/>
    <w:rsid w:val="009A38DE"/>
    <w:rsid w:val="009A3E95"/>
    <w:rsid w:val="009A53F5"/>
    <w:rsid w:val="009A670A"/>
    <w:rsid w:val="009A74F6"/>
    <w:rsid w:val="009A7902"/>
    <w:rsid w:val="009B13DB"/>
    <w:rsid w:val="009B3005"/>
    <w:rsid w:val="009B38F5"/>
    <w:rsid w:val="009B4D10"/>
    <w:rsid w:val="009B7C41"/>
    <w:rsid w:val="009C025C"/>
    <w:rsid w:val="009C1C8D"/>
    <w:rsid w:val="009C5CD8"/>
    <w:rsid w:val="009D1EE4"/>
    <w:rsid w:val="009D33DC"/>
    <w:rsid w:val="009D52EA"/>
    <w:rsid w:val="009D7667"/>
    <w:rsid w:val="009E142E"/>
    <w:rsid w:val="009E20DF"/>
    <w:rsid w:val="009E2B83"/>
    <w:rsid w:val="009E2CE8"/>
    <w:rsid w:val="009E3472"/>
    <w:rsid w:val="009E664B"/>
    <w:rsid w:val="009E721B"/>
    <w:rsid w:val="009F09F3"/>
    <w:rsid w:val="009F4304"/>
    <w:rsid w:val="009F4DD3"/>
    <w:rsid w:val="009F56A7"/>
    <w:rsid w:val="009F6A59"/>
    <w:rsid w:val="009F6C32"/>
    <w:rsid w:val="00A02598"/>
    <w:rsid w:val="00A02D68"/>
    <w:rsid w:val="00A054BE"/>
    <w:rsid w:val="00A06481"/>
    <w:rsid w:val="00A10769"/>
    <w:rsid w:val="00A10910"/>
    <w:rsid w:val="00A13EEA"/>
    <w:rsid w:val="00A15952"/>
    <w:rsid w:val="00A17827"/>
    <w:rsid w:val="00A21161"/>
    <w:rsid w:val="00A2131A"/>
    <w:rsid w:val="00A2176C"/>
    <w:rsid w:val="00A30F16"/>
    <w:rsid w:val="00A31A7A"/>
    <w:rsid w:val="00A32FAC"/>
    <w:rsid w:val="00A34980"/>
    <w:rsid w:val="00A34BC6"/>
    <w:rsid w:val="00A37931"/>
    <w:rsid w:val="00A40D74"/>
    <w:rsid w:val="00A43AEF"/>
    <w:rsid w:val="00A43C5D"/>
    <w:rsid w:val="00A46A12"/>
    <w:rsid w:val="00A522EB"/>
    <w:rsid w:val="00A52E75"/>
    <w:rsid w:val="00A54C46"/>
    <w:rsid w:val="00A56264"/>
    <w:rsid w:val="00A57385"/>
    <w:rsid w:val="00A63AB0"/>
    <w:rsid w:val="00A65E96"/>
    <w:rsid w:val="00A75363"/>
    <w:rsid w:val="00A80328"/>
    <w:rsid w:val="00A85060"/>
    <w:rsid w:val="00A8541B"/>
    <w:rsid w:val="00A861A7"/>
    <w:rsid w:val="00A87609"/>
    <w:rsid w:val="00A91328"/>
    <w:rsid w:val="00A920CB"/>
    <w:rsid w:val="00A94122"/>
    <w:rsid w:val="00A94FE0"/>
    <w:rsid w:val="00A97244"/>
    <w:rsid w:val="00AA040A"/>
    <w:rsid w:val="00AA2278"/>
    <w:rsid w:val="00AA24AE"/>
    <w:rsid w:val="00AA327B"/>
    <w:rsid w:val="00AA4162"/>
    <w:rsid w:val="00AB23A9"/>
    <w:rsid w:val="00AB3847"/>
    <w:rsid w:val="00AB43D1"/>
    <w:rsid w:val="00AB508B"/>
    <w:rsid w:val="00AB679E"/>
    <w:rsid w:val="00AB68E2"/>
    <w:rsid w:val="00AB6F5A"/>
    <w:rsid w:val="00AB7E96"/>
    <w:rsid w:val="00AB7F22"/>
    <w:rsid w:val="00AC2D27"/>
    <w:rsid w:val="00AC4156"/>
    <w:rsid w:val="00AC73CD"/>
    <w:rsid w:val="00AD02A7"/>
    <w:rsid w:val="00AD1788"/>
    <w:rsid w:val="00AD18B5"/>
    <w:rsid w:val="00AD4811"/>
    <w:rsid w:val="00AD5CEE"/>
    <w:rsid w:val="00AD74A6"/>
    <w:rsid w:val="00AE073A"/>
    <w:rsid w:val="00AE0F8C"/>
    <w:rsid w:val="00AE282E"/>
    <w:rsid w:val="00AE31BB"/>
    <w:rsid w:val="00AE3EEF"/>
    <w:rsid w:val="00AE45DB"/>
    <w:rsid w:val="00AE6BDF"/>
    <w:rsid w:val="00AE7F87"/>
    <w:rsid w:val="00AF0A01"/>
    <w:rsid w:val="00AF1E21"/>
    <w:rsid w:val="00AF3767"/>
    <w:rsid w:val="00AF4E0E"/>
    <w:rsid w:val="00AF5DE1"/>
    <w:rsid w:val="00B001ED"/>
    <w:rsid w:val="00B038EA"/>
    <w:rsid w:val="00B045E4"/>
    <w:rsid w:val="00B1098A"/>
    <w:rsid w:val="00B127A7"/>
    <w:rsid w:val="00B1478F"/>
    <w:rsid w:val="00B24280"/>
    <w:rsid w:val="00B3428A"/>
    <w:rsid w:val="00B346B7"/>
    <w:rsid w:val="00B36DB6"/>
    <w:rsid w:val="00B378E1"/>
    <w:rsid w:val="00B37E83"/>
    <w:rsid w:val="00B41811"/>
    <w:rsid w:val="00B41D4E"/>
    <w:rsid w:val="00B4277E"/>
    <w:rsid w:val="00B42C26"/>
    <w:rsid w:val="00B442E5"/>
    <w:rsid w:val="00B44CC0"/>
    <w:rsid w:val="00B459A2"/>
    <w:rsid w:val="00B47B40"/>
    <w:rsid w:val="00B50202"/>
    <w:rsid w:val="00B5190D"/>
    <w:rsid w:val="00B52694"/>
    <w:rsid w:val="00B55C17"/>
    <w:rsid w:val="00B56585"/>
    <w:rsid w:val="00B62C5F"/>
    <w:rsid w:val="00B63109"/>
    <w:rsid w:val="00B63338"/>
    <w:rsid w:val="00B63807"/>
    <w:rsid w:val="00B6612B"/>
    <w:rsid w:val="00B70AB7"/>
    <w:rsid w:val="00B71ECB"/>
    <w:rsid w:val="00B736CB"/>
    <w:rsid w:val="00B738BA"/>
    <w:rsid w:val="00B77EA6"/>
    <w:rsid w:val="00B82CA8"/>
    <w:rsid w:val="00B83C20"/>
    <w:rsid w:val="00B86FB6"/>
    <w:rsid w:val="00B91098"/>
    <w:rsid w:val="00B9116E"/>
    <w:rsid w:val="00B91937"/>
    <w:rsid w:val="00BA06B8"/>
    <w:rsid w:val="00BA387D"/>
    <w:rsid w:val="00BA5C89"/>
    <w:rsid w:val="00BA5E14"/>
    <w:rsid w:val="00BB272B"/>
    <w:rsid w:val="00BB6325"/>
    <w:rsid w:val="00BB6970"/>
    <w:rsid w:val="00BB6F9A"/>
    <w:rsid w:val="00BC176F"/>
    <w:rsid w:val="00BC1EED"/>
    <w:rsid w:val="00BC5347"/>
    <w:rsid w:val="00BC76FC"/>
    <w:rsid w:val="00BD00F6"/>
    <w:rsid w:val="00BD160F"/>
    <w:rsid w:val="00BD4FCC"/>
    <w:rsid w:val="00BD63D9"/>
    <w:rsid w:val="00BD795A"/>
    <w:rsid w:val="00BE0993"/>
    <w:rsid w:val="00BE17B0"/>
    <w:rsid w:val="00BE192D"/>
    <w:rsid w:val="00BE7AED"/>
    <w:rsid w:val="00BF0F87"/>
    <w:rsid w:val="00BF117D"/>
    <w:rsid w:val="00BF2227"/>
    <w:rsid w:val="00BF2F7A"/>
    <w:rsid w:val="00BF5BDF"/>
    <w:rsid w:val="00BF6956"/>
    <w:rsid w:val="00BF6CFB"/>
    <w:rsid w:val="00C05453"/>
    <w:rsid w:val="00C17C0E"/>
    <w:rsid w:val="00C21E77"/>
    <w:rsid w:val="00C22BAF"/>
    <w:rsid w:val="00C27F57"/>
    <w:rsid w:val="00C3242A"/>
    <w:rsid w:val="00C346BD"/>
    <w:rsid w:val="00C3503C"/>
    <w:rsid w:val="00C4052A"/>
    <w:rsid w:val="00C434F4"/>
    <w:rsid w:val="00C45470"/>
    <w:rsid w:val="00C463C3"/>
    <w:rsid w:val="00C4686D"/>
    <w:rsid w:val="00C4790F"/>
    <w:rsid w:val="00C47AC9"/>
    <w:rsid w:val="00C55605"/>
    <w:rsid w:val="00C557F5"/>
    <w:rsid w:val="00C61978"/>
    <w:rsid w:val="00C62674"/>
    <w:rsid w:val="00C62FC8"/>
    <w:rsid w:val="00C63AC1"/>
    <w:rsid w:val="00C660A8"/>
    <w:rsid w:val="00C660FD"/>
    <w:rsid w:val="00C71AE6"/>
    <w:rsid w:val="00C71B5B"/>
    <w:rsid w:val="00C72199"/>
    <w:rsid w:val="00C84064"/>
    <w:rsid w:val="00C85F1F"/>
    <w:rsid w:val="00C86601"/>
    <w:rsid w:val="00C878BC"/>
    <w:rsid w:val="00C90E18"/>
    <w:rsid w:val="00C92AD6"/>
    <w:rsid w:val="00C936D7"/>
    <w:rsid w:val="00C93CAA"/>
    <w:rsid w:val="00C94775"/>
    <w:rsid w:val="00C94874"/>
    <w:rsid w:val="00C94C14"/>
    <w:rsid w:val="00C97CE2"/>
    <w:rsid w:val="00CA09DD"/>
    <w:rsid w:val="00CA2A8E"/>
    <w:rsid w:val="00CA3FC1"/>
    <w:rsid w:val="00CA4D1E"/>
    <w:rsid w:val="00CA4D8E"/>
    <w:rsid w:val="00CB207C"/>
    <w:rsid w:val="00CB273B"/>
    <w:rsid w:val="00CB4716"/>
    <w:rsid w:val="00CB518F"/>
    <w:rsid w:val="00CB7272"/>
    <w:rsid w:val="00CC10AE"/>
    <w:rsid w:val="00CC12DF"/>
    <w:rsid w:val="00CC1798"/>
    <w:rsid w:val="00CC2151"/>
    <w:rsid w:val="00CC6B65"/>
    <w:rsid w:val="00CD04AA"/>
    <w:rsid w:val="00CD17FF"/>
    <w:rsid w:val="00CD1863"/>
    <w:rsid w:val="00CD2139"/>
    <w:rsid w:val="00CD3A75"/>
    <w:rsid w:val="00CD5337"/>
    <w:rsid w:val="00CD6681"/>
    <w:rsid w:val="00CD7663"/>
    <w:rsid w:val="00CD7E76"/>
    <w:rsid w:val="00CE0BBA"/>
    <w:rsid w:val="00CE0FD5"/>
    <w:rsid w:val="00CE1F11"/>
    <w:rsid w:val="00CE6262"/>
    <w:rsid w:val="00CF3AE6"/>
    <w:rsid w:val="00CF3C3C"/>
    <w:rsid w:val="00CF3E44"/>
    <w:rsid w:val="00D05380"/>
    <w:rsid w:val="00D0560D"/>
    <w:rsid w:val="00D066EB"/>
    <w:rsid w:val="00D06D0C"/>
    <w:rsid w:val="00D11629"/>
    <w:rsid w:val="00D1324E"/>
    <w:rsid w:val="00D137E4"/>
    <w:rsid w:val="00D15EC8"/>
    <w:rsid w:val="00D16CEC"/>
    <w:rsid w:val="00D21518"/>
    <w:rsid w:val="00D259D6"/>
    <w:rsid w:val="00D25EBB"/>
    <w:rsid w:val="00D3000F"/>
    <w:rsid w:val="00D311CD"/>
    <w:rsid w:val="00D347DB"/>
    <w:rsid w:val="00D362B0"/>
    <w:rsid w:val="00D36878"/>
    <w:rsid w:val="00D36906"/>
    <w:rsid w:val="00D37523"/>
    <w:rsid w:val="00D45D49"/>
    <w:rsid w:val="00D46E68"/>
    <w:rsid w:val="00D503C1"/>
    <w:rsid w:val="00D51284"/>
    <w:rsid w:val="00D61E0B"/>
    <w:rsid w:val="00D62304"/>
    <w:rsid w:val="00D62C5D"/>
    <w:rsid w:val="00D65A20"/>
    <w:rsid w:val="00D707EF"/>
    <w:rsid w:val="00D70F87"/>
    <w:rsid w:val="00D71A37"/>
    <w:rsid w:val="00D829E0"/>
    <w:rsid w:val="00D83255"/>
    <w:rsid w:val="00D93A1E"/>
    <w:rsid w:val="00D93BC8"/>
    <w:rsid w:val="00D94867"/>
    <w:rsid w:val="00DA7B67"/>
    <w:rsid w:val="00DA7B7C"/>
    <w:rsid w:val="00DB134B"/>
    <w:rsid w:val="00DB1E73"/>
    <w:rsid w:val="00DB2853"/>
    <w:rsid w:val="00DB6C3D"/>
    <w:rsid w:val="00DC34A9"/>
    <w:rsid w:val="00DC4866"/>
    <w:rsid w:val="00DC4BFC"/>
    <w:rsid w:val="00DC542D"/>
    <w:rsid w:val="00DC7174"/>
    <w:rsid w:val="00DC798F"/>
    <w:rsid w:val="00DD0DDC"/>
    <w:rsid w:val="00DD108B"/>
    <w:rsid w:val="00DD3ED6"/>
    <w:rsid w:val="00DD4A23"/>
    <w:rsid w:val="00DD5609"/>
    <w:rsid w:val="00DD64BB"/>
    <w:rsid w:val="00DD740B"/>
    <w:rsid w:val="00DD7BB9"/>
    <w:rsid w:val="00DE1699"/>
    <w:rsid w:val="00DE50F1"/>
    <w:rsid w:val="00DE5E7B"/>
    <w:rsid w:val="00DE7203"/>
    <w:rsid w:val="00DE75E8"/>
    <w:rsid w:val="00DF288F"/>
    <w:rsid w:val="00DF5F56"/>
    <w:rsid w:val="00DF7DA6"/>
    <w:rsid w:val="00E01307"/>
    <w:rsid w:val="00E0342D"/>
    <w:rsid w:val="00E054E9"/>
    <w:rsid w:val="00E103FB"/>
    <w:rsid w:val="00E15484"/>
    <w:rsid w:val="00E1651D"/>
    <w:rsid w:val="00E20982"/>
    <w:rsid w:val="00E22DA9"/>
    <w:rsid w:val="00E22DB6"/>
    <w:rsid w:val="00E239ED"/>
    <w:rsid w:val="00E361CA"/>
    <w:rsid w:val="00E3702C"/>
    <w:rsid w:val="00E42169"/>
    <w:rsid w:val="00E42CAB"/>
    <w:rsid w:val="00E44785"/>
    <w:rsid w:val="00E4673A"/>
    <w:rsid w:val="00E468AA"/>
    <w:rsid w:val="00E51BA2"/>
    <w:rsid w:val="00E521B9"/>
    <w:rsid w:val="00E53335"/>
    <w:rsid w:val="00E54F6D"/>
    <w:rsid w:val="00E5760E"/>
    <w:rsid w:val="00E57794"/>
    <w:rsid w:val="00E6035E"/>
    <w:rsid w:val="00E63BC9"/>
    <w:rsid w:val="00E651A3"/>
    <w:rsid w:val="00E656D5"/>
    <w:rsid w:val="00E6572D"/>
    <w:rsid w:val="00E65F71"/>
    <w:rsid w:val="00E65F9F"/>
    <w:rsid w:val="00E675CC"/>
    <w:rsid w:val="00E739B9"/>
    <w:rsid w:val="00E74147"/>
    <w:rsid w:val="00E76CEF"/>
    <w:rsid w:val="00E83817"/>
    <w:rsid w:val="00E90BD7"/>
    <w:rsid w:val="00E9560E"/>
    <w:rsid w:val="00E95BBA"/>
    <w:rsid w:val="00E971B0"/>
    <w:rsid w:val="00E97819"/>
    <w:rsid w:val="00EA0A26"/>
    <w:rsid w:val="00EA1A3B"/>
    <w:rsid w:val="00EA3029"/>
    <w:rsid w:val="00EA439D"/>
    <w:rsid w:val="00EA4521"/>
    <w:rsid w:val="00EA5396"/>
    <w:rsid w:val="00EA5B58"/>
    <w:rsid w:val="00EA74C7"/>
    <w:rsid w:val="00EB0758"/>
    <w:rsid w:val="00EB739D"/>
    <w:rsid w:val="00EC0D45"/>
    <w:rsid w:val="00EC2CA0"/>
    <w:rsid w:val="00EC51CF"/>
    <w:rsid w:val="00EC67AB"/>
    <w:rsid w:val="00ED023D"/>
    <w:rsid w:val="00ED190D"/>
    <w:rsid w:val="00ED3A05"/>
    <w:rsid w:val="00ED5BD1"/>
    <w:rsid w:val="00EE203B"/>
    <w:rsid w:val="00EE5844"/>
    <w:rsid w:val="00EF0445"/>
    <w:rsid w:val="00EF139A"/>
    <w:rsid w:val="00EF1B8A"/>
    <w:rsid w:val="00EF308F"/>
    <w:rsid w:val="00EF39D8"/>
    <w:rsid w:val="00EF64E3"/>
    <w:rsid w:val="00EF668B"/>
    <w:rsid w:val="00EF79C6"/>
    <w:rsid w:val="00F00882"/>
    <w:rsid w:val="00F00BEA"/>
    <w:rsid w:val="00F03D69"/>
    <w:rsid w:val="00F03ECB"/>
    <w:rsid w:val="00F055ED"/>
    <w:rsid w:val="00F05D8A"/>
    <w:rsid w:val="00F0666C"/>
    <w:rsid w:val="00F067AD"/>
    <w:rsid w:val="00F07FA3"/>
    <w:rsid w:val="00F1032A"/>
    <w:rsid w:val="00F10411"/>
    <w:rsid w:val="00F1154B"/>
    <w:rsid w:val="00F12F22"/>
    <w:rsid w:val="00F16C8C"/>
    <w:rsid w:val="00F16DF9"/>
    <w:rsid w:val="00F37C68"/>
    <w:rsid w:val="00F40C93"/>
    <w:rsid w:val="00F413F4"/>
    <w:rsid w:val="00F433D4"/>
    <w:rsid w:val="00F47F3D"/>
    <w:rsid w:val="00F51380"/>
    <w:rsid w:val="00F51670"/>
    <w:rsid w:val="00F51A10"/>
    <w:rsid w:val="00F52D57"/>
    <w:rsid w:val="00F52F45"/>
    <w:rsid w:val="00F54488"/>
    <w:rsid w:val="00F570E4"/>
    <w:rsid w:val="00F61F85"/>
    <w:rsid w:val="00F62876"/>
    <w:rsid w:val="00F64C52"/>
    <w:rsid w:val="00F65AD8"/>
    <w:rsid w:val="00F66D66"/>
    <w:rsid w:val="00F72347"/>
    <w:rsid w:val="00F7254A"/>
    <w:rsid w:val="00F726D5"/>
    <w:rsid w:val="00F7544E"/>
    <w:rsid w:val="00F75CAD"/>
    <w:rsid w:val="00F83C41"/>
    <w:rsid w:val="00F86A73"/>
    <w:rsid w:val="00F92030"/>
    <w:rsid w:val="00F92AF5"/>
    <w:rsid w:val="00F948C6"/>
    <w:rsid w:val="00F948CB"/>
    <w:rsid w:val="00FA3B3A"/>
    <w:rsid w:val="00FA3DF4"/>
    <w:rsid w:val="00FA4D98"/>
    <w:rsid w:val="00FA5CCB"/>
    <w:rsid w:val="00FB10AE"/>
    <w:rsid w:val="00FB1738"/>
    <w:rsid w:val="00FB2EEF"/>
    <w:rsid w:val="00FB4003"/>
    <w:rsid w:val="00FB7FCF"/>
    <w:rsid w:val="00FC02FE"/>
    <w:rsid w:val="00FC0BA9"/>
    <w:rsid w:val="00FC113B"/>
    <w:rsid w:val="00FC6811"/>
    <w:rsid w:val="00FD4951"/>
    <w:rsid w:val="00FD52ED"/>
    <w:rsid w:val="00FD57F5"/>
    <w:rsid w:val="00FD68E8"/>
    <w:rsid w:val="00FD776E"/>
    <w:rsid w:val="00FE0824"/>
    <w:rsid w:val="00FE272D"/>
    <w:rsid w:val="00FE31CA"/>
    <w:rsid w:val="00FE3724"/>
    <w:rsid w:val="00FF2800"/>
    <w:rsid w:val="00FF52CC"/>
    <w:rsid w:val="00FF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EB95F"/>
  <w15:chartTrackingRefBased/>
  <w15:docId w15:val="{B78E7564-D07E-4AE1-8E74-DF800D2C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qFormat="1"/>
    <w:lsdException w:name="List Number 3" w:uiPriority="14" w:qFormat="1"/>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3E44"/>
  </w:style>
  <w:style w:type="paragraph" w:styleId="Heading1">
    <w:name w:val="heading 1"/>
    <w:basedOn w:val="Normal"/>
    <w:next w:val="BodyText"/>
    <w:link w:val="Heading1Char"/>
    <w:uiPriority w:val="9"/>
    <w:qFormat/>
    <w:rsid w:val="00702CA1"/>
    <w:pPr>
      <w:keepNext/>
      <w:keepLines/>
      <w:spacing w:before="300"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A1"/>
    <w:rPr>
      <w:rFonts w:eastAsiaTheme="majorEastAsia" w:cstheme="majorBidi"/>
      <w:color w:val="005EB8"/>
      <w:sz w:val="72"/>
      <w:szCs w:val="32"/>
    </w:rPr>
  </w:style>
  <w:style w:type="character" w:customStyle="1" w:styleId="Heading2Char">
    <w:name w:val="Heading 2 Char"/>
    <w:basedOn w:val="DefaultParagraphFont"/>
    <w:link w:val="Heading2"/>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39"/>
    <w:unhideWhenUsed/>
    <w:rsid w:val="0011344A"/>
    <w:pPr>
      <w:spacing w:after="100"/>
      <w:ind w:left="440"/>
    </w:pPr>
  </w:style>
  <w:style w:type="paragraph" w:styleId="TOC4">
    <w:name w:val="toc 4"/>
    <w:basedOn w:val="Normal"/>
    <w:next w:val="Normal"/>
    <w:uiPriority w:val="39"/>
    <w:unhideWhenUsed/>
    <w:rsid w:val="0011344A"/>
    <w:pPr>
      <w:spacing w:after="100"/>
      <w:ind w:left="660"/>
    </w:pPr>
  </w:style>
  <w:style w:type="paragraph" w:styleId="TOC5">
    <w:name w:val="toc 5"/>
    <w:basedOn w:val="Normal"/>
    <w:next w:val="Normal"/>
    <w:uiPriority w:val="39"/>
    <w:unhideWhenUsed/>
    <w:rsid w:val="0011344A"/>
    <w:pPr>
      <w:spacing w:after="100"/>
      <w:ind w:left="880"/>
    </w:pPr>
  </w:style>
  <w:style w:type="paragraph" w:styleId="TOC6">
    <w:name w:val="toc 6"/>
    <w:basedOn w:val="Normal"/>
    <w:next w:val="Normal"/>
    <w:uiPriority w:val="39"/>
    <w:unhideWhenUsed/>
    <w:rsid w:val="0011344A"/>
    <w:pPr>
      <w:spacing w:after="100"/>
      <w:ind w:left="1100"/>
    </w:pPr>
  </w:style>
  <w:style w:type="paragraph" w:styleId="TOC7">
    <w:name w:val="toc 7"/>
    <w:basedOn w:val="Normal"/>
    <w:next w:val="Normal"/>
    <w:uiPriority w:val="39"/>
    <w:unhideWhenUsed/>
    <w:rsid w:val="0011344A"/>
    <w:pPr>
      <w:spacing w:after="100"/>
      <w:ind w:left="1320"/>
    </w:pPr>
  </w:style>
  <w:style w:type="paragraph" w:styleId="TOC8">
    <w:name w:val="toc 8"/>
    <w:basedOn w:val="Normal"/>
    <w:next w:val="Normal"/>
    <w:uiPriority w:val="39"/>
    <w:unhideWhenUsed/>
    <w:rsid w:val="0011344A"/>
    <w:pPr>
      <w:spacing w:after="100"/>
      <w:ind w:left="1540"/>
    </w:pPr>
  </w:style>
  <w:style w:type="paragraph" w:styleId="TOC9">
    <w:name w:val="toc 9"/>
    <w:basedOn w:val="Normal"/>
    <w:next w:val="Normal"/>
    <w:uiPriority w:val="39"/>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customStyle="1" w:styleId="FooterChar">
    <w:name w:val="Footer Char"/>
    <w:basedOn w:val="DefaultParagraphFont"/>
    <w:link w:val="Footer"/>
    <w:uiPriority w:val="99"/>
    <w:semiHidden/>
    <w:rsid w:val="005806C1"/>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BB6325"/>
    <w:pPr>
      <w:numPr>
        <w:numId w:val="1"/>
      </w:numPr>
      <w:spacing w:after="50"/>
    </w:pPr>
  </w:style>
  <w:style w:type="paragraph" w:styleId="ListBullet2">
    <w:name w:val="List Bullet 2"/>
    <w:basedOn w:val="BodyText"/>
    <w:uiPriority w:val="14"/>
    <w:qFormat/>
    <w:rsid w:val="00F03D69"/>
    <w:pPr>
      <w:numPr>
        <w:ilvl w:val="1"/>
        <w:numId w:val="1"/>
      </w:numPr>
      <w:spacing w:after="50"/>
    </w:pPr>
  </w:style>
  <w:style w:type="paragraph" w:styleId="ListBullet3">
    <w:name w:val="List Bullet 3"/>
    <w:basedOn w:val="BodyText"/>
    <w:uiPriority w:val="99"/>
    <w:semiHidden/>
    <w:qFormat/>
    <w:rsid w:val="00F03D69"/>
    <w:pPr>
      <w:numPr>
        <w:ilvl w:val="2"/>
        <w:numId w:val="1"/>
      </w:numPr>
      <w:contextualSpacing/>
    </w:pPr>
  </w:style>
  <w:style w:type="paragraph" w:styleId="ListBullet4">
    <w:name w:val="List Bullet 4"/>
    <w:basedOn w:val="BodyText"/>
    <w:uiPriority w:val="99"/>
    <w:semiHidden/>
    <w:rsid w:val="00F03D69"/>
    <w:pPr>
      <w:numPr>
        <w:ilvl w:val="3"/>
        <w:numId w:val="1"/>
      </w:numPr>
      <w:contextualSpacing/>
    </w:pPr>
  </w:style>
  <w:style w:type="paragraph" w:styleId="ListBullet5">
    <w:name w:val="List Bullet 5"/>
    <w:basedOn w:val="BodyText"/>
    <w:uiPriority w:val="99"/>
    <w:semiHidden/>
    <w:rsid w:val="00F03D69"/>
    <w:pPr>
      <w:numPr>
        <w:ilvl w:val="4"/>
        <w:numId w:val="1"/>
      </w:numPr>
      <w:contextualSpacing/>
    </w:pPr>
  </w:style>
  <w:style w:type="paragraph" w:styleId="ListContinue">
    <w:name w:val="List Continue"/>
    <w:basedOn w:val="BodyText"/>
    <w:uiPriority w:val="16"/>
    <w:qFormat/>
    <w:rsid w:val="00C93CAA"/>
    <w:pPr>
      <w:spacing w:after="50"/>
      <w:ind w:left="851"/>
    </w:pPr>
  </w:style>
  <w:style w:type="paragraph" w:styleId="ListContinue2">
    <w:name w:val="List Continue 2"/>
    <w:basedOn w:val="BodyText"/>
    <w:uiPriority w:val="16"/>
    <w:qFormat/>
    <w:rsid w:val="00C93CAA"/>
    <w:pPr>
      <w:spacing w:after="50"/>
      <w:ind w:left="1134"/>
    </w:pPr>
  </w:style>
  <w:style w:type="paragraph" w:styleId="ListContinue3">
    <w:name w:val="List Continue 3"/>
    <w:basedOn w:val="BodyText"/>
    <w:uiPriority w:val="16"/>
    <w:qFormat/>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qFormat/>
    <w:rsid w:val="0030692D"/>
    <w:pPr>
      <w:numPr>
        <w:numId w:val="2"/>
      </w:numPr>
      <w:spacing w:after="50"/>
    </w:pPr>
  </w:style>
  <w:style w:type="paragraph" w:styleId="ListNumber2">
    <w:name w:val="List Number 2"/>
    <w:basedOn w:val="BodyText"/>
    <w:uiPriority w:val="16"/>
    <w:qFormat/>
    <w:rsid w:val="0030692D"/>
    <w:pPr>
      <w:numPr>
        <w:ilvl w:val="1"/>
        <w:numId w:val="2"/>
      </w:numPr>
      <w:spacing w:after="50"/>
    </w:pPr>
  </w:style>
  <w:style w:type="paragraph" w:styleId="ListNumber3">
    <w:name w:val="List Number 3"/>
    <w:basedOn w:val="BodyText"/>
    <w:uiPriority w:val="16"/>
    <w:qFormat/>
    <w:rsid w:val="0030692D"/>
    <w:pPr>
      <w:numPr>
        <w:ilvl w:val="2"/>
        <w:numId w:val="2"/>
      </w:numPr>
      <w:spacing w:after="50"/>
    </w:pPr>
  </w:style>
  <w:style w:type="paragraph" w:styleId="ListNumber4">
    <w:name w:val="List Number 4"/>
    <w:basedOn w:val="BodyText"/>
    <w:uiPriority w:val="99"/>
    <w:semiHidden/>
    <w:rsid w:val="0030692D"/>
    <w:pPr>
      <w:numPr>
        <w:ilvl w:val="3"/>
        <w:numId w:val="2"/>
      </w:numPr>
      <w:contextualSpacing/>
    </w:pPr>
  </w:style>
  <w:style w:type="paragraph" w:styleId="ListNumber5">
    <w:name w:val="List Number 5"/>
    <w:basedOn w:val="BodyText"/>
    <w:uiPriority w:val="99"/>
    <w:semiHidden/>
    <w:rsid w:val="0030692D"/>
    <w:pPr>
      <w:numPr>
        <w:ilvl w:val="4"/>
        <w:numId w:val="2"/>
      </w:numPr>
      <w:contextualSpacing/>
    </w:p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normal"/>
    <w:basedOn w:val="Normal"/>
    <w:link w:val="ListParagraphChar"/>
    <w:uiPriority w:val="34"/>
    <w:qFormat/>
    <w:rsid w:val="00DD0DDC"/>
    <w:pPr>
      <w:ind w:left="720"/>
      <w:contextualSpacing/>
    </w:pPr>
  </w:style>
  <w:style w:type="numbering" w:customStyle="1" w:styleId="NHSBullets">
    <w:name w:val="NHS Bullets"/>
    <w:basedOn w:val="NoList"/>
    <w:uiPriority w:val="99"/>
    <w:rsid w:val="00F03D69"/>
    <w:pPr>
      <w:numPr>
        <w:numId w:val="77"/>
      </w:numPr>
    </w:pPr>
  </w:style>
  <w:style w:type="numbering" w:customStyle="1" w:styleId="NHSListNumbers">
    <w:name w:val="NHS List Numbers"/>
    <w:basedOn w:val="NHSBullets"/>
    <w:uiPriority w:val="99"/>
    <w:rsid w:val="0030692D"/>
    <w:pPr>
      <w:numPr>
        <w:numId w:val="2"/>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AF1E21"/>
    <w:pPr>
      <w:numPr>
        <w:numId w:val="3"/>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3"/>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4"/>
      </w:numPr>
      <w:ind w:left="3403"/>
    </w:pPr>
  </w:style>
  <w:style w:type="paragraph" w:customStyle="1" w:styleId="Heading2Numbered">
    <w:name w:val="Heading 2 Numbered"/>
    <w:basedOn w:val="Heading2"/>
    <w:next w:val="BodyText"/>
    <w:uiPriority w:val="9"/>
    <w:qFormat/>
    <w:rsid w:val="00833395"/>
    <w:pPr>
      <w:numPr>
        <w:ilvl w:val="1"/>
        <w:numId w:val="4"/>
      </w:numPr>
    </w:pPr>
  </w:style>
  <w:style w:type="paragraph" w:customStyle="1" w:styleId="Heading3Numbered">
    <w:name w:val="Heading 3 Numbered"/>
    <w:basedOn w:val="Heading3"/>
    <w:next w:val="BodyText"/>
    <w:uiPriority w:val="9"/>
    <w:qFormat/>
    <w:rsid w:val="0070678C"/>
    <w:pPr>
      <w:numPr>
        <w:ilvl w:val="2"/>
        <w:numId w:val="4"/>
      </w:numPr>
      <w:ind w:left="709" w:hanging="709"/>
    </w:pPr>
    <w:rPr>
      <w:b w:val="0"/>
      <w:sz w:val="24"/>
    </w:rPr>
  </w:style>
  <w:style w:type="numbering" w:customStyle="1" w:styleId="NHSHeadings">
    <w:name w:val="NHS Headings"/>
    <w:basedOn w:val="NoList"/>
    <w:uiPriority w:val="99"/>
    <w:rsid w:val="00630977"/>
    <w:pPr>
      <w:numPr>
        <w:numId w:val="59"/>
      </w:numPr>
    </w:pPr>
  </w:style>
  <w:style w:type="numbering" w:customStyle="1" w:styleId="NHSBodyText">
    <w:name w:val="NHS Body Text"/>
    <w:basedOn w:val="NoList"/>
    <w:uiPriority w:val="99"/>
    <w:rsid w:val="0014017A"/>
    <w:pPr>
      <w:numPr>
        <w:numId w:val="5"/>
      </w:numPr>
    </w:pPr>
  </w:style>
  <w:style w:type="paragraph" w:styleId="BodyText2">
    <w:name w:val="Body Text 2"/>
    <w:basedOn w:val="BodyText"/>
    <w:link w:val="BodyText2Char"/>
    <w:qFormat/>
    <w:rsid w:val="0014017A"/>
    <w:pPr>
      <w:numPr>
        <w:numId w:val="5"/>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qFormat/>
    <w:rsid w:val="00CB207C"/>
    <w:rPr>
      <w:color w:val="41B6E6"/>
    </w:rPr>
  </w:style>
  <w:style w:type="paragraph" w:customStyle="1" w:styleId="IntroText">
    <w:name w:val="Intro Text"/>
    <w:basedOn w:val="BodyText"/>
    <w:next w:val="BodyText"/>
    <w:qForma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paragraph" w:styleId="BalloonText">
    <w:name w:val="Balloon Text"/>
    <w:basedOn w:val="Normal"/>
    <w:link w:val="BalloonTextChar"/>
    <w:uiPriority w:val="99"/>
    <w:semiHidden/>
    <w:unhideWhenUsed/>
    <w:rsid w:val="006B0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96A"/>
    <w:rPr>
      <w:rFonts w:ascii="Segoe UI" w:hAnsi="Segoe UI" w:cs="Segoe UI"/>
      <w:sz w:val="18"/>
      <w:szCs w:val="18"/>
    </w:rPr>
  </w:style>
  <w:style w:type="paragraph" w:customStyle="1" w:styleId="Default">
    <w:name w:val="Default"/>
    <w:rsid w:val="00282710"/>
    <w:pPr>
      <w:autoSpaceDE w:val="0"/>
      <w:autoSpaceDN w:val="0"/>
      <w:adjustRightInd w:val="0"/>
    </w:pPr>
    <w:rPr>
      <w:rFonts w:cs="Arial"/>
      <w:color w:val="000000"/>
    </w:rPr>
  </w:style>
  <w:style w:type="character" w:styleId="CommentReference">
    <w:name w:val="annotation reference"/>
    <w:basedOn w:val="DefaultParagraphFont"/>
    <w:uiPriority w:val="99"/>
    <w:semiHidden/>
    <w:unhideWhenUsed/>
    <w:rsid w:val="001F0624"/>
    <w:rPr>
      <w:sz w:val="16"/>
      <w:szCs w:val="16"/>
    </w:rPr>
  </w:style>
  <w:style w:type="paragraph" w:styleId="CommentText">
    <w:name w:val="annotation text"/>
    <w:basedOn w:val="Normal"/>
    <w:link w:val="CommentTextChar"/>
    <w:uiPriority w:val="99"/>
    <w:unhideWhenUsed/>
    <w:rsid w:val="001F0624"/>
    <w:rPr>
      <w:sz w:val="20"/>
      <w:szCs w:val="20"/>
    </w:rPr>
  </w:style>
  <w:style w:type="character" w:customStyle="1" w:styleId="CommentTextChar">
    <w:name w:val="Comment Text Char"/>
    <w:basedOn w:val="DefaultParagraphFont"/>
    <w:link w:val="CommentText"/>
    <w:uiPriority w:val="99"/>
    <w:rsid w:val="001F0624"/>
    <w:rPr>
      <w:sz w:val="20"/>
      <w:szCs w:val="20"/>
    </w:rPr>
  </w:style>
  <w:style w:type="paragraph" w:styleId="CommentSubject">
    <w:name w:val="annotation subject"/>
    <w:basedOn w:val="CommentText"/>
    <w:next w:val="CommentText"/>
    <w:link w:val="CommentSubjectChar"/>
    <w:uiPriority w:val="99"/>
    <w:semiHidden/>
    <w:unhideWhenUsed/>
    <w:rsid w:val="001F0624"/>
    <w:rPr>
      <w:b/>
      <w:bCs/>
    </w:rPr>
  </w:style>
  <w:style w:type="character" w:customStyle="1" w:styleId="CommentSubjectChar">
    <w:name w:val="Comment Subject Char"/>
    <w:basedOn w:val="CommentTextChar"/>
    <w:link w:val="CommentSubject"/>
    <w:uiPriority w:val="99"/>
    <w:semiHidden/>
    <w:rsid w:val="001F0624"/>
    <w:rPr>
      <w:b/>
      <w:bCs/>
      <w:sz w:val="20"/>
      <w:szCs w:val="20"/>
    </w:rPr>
  </w:style>
  <w:style w:type="paragraph" w:styleId="Revision">
    <w:name w:val="Revision"/>
    <w:hidden/>
    <w:uiPriority w:val="99"/>
    <w:semiHidden/>
    <w:rsid w:val="00EC67AB"/>
  </w:style>
  <w:style w:type="character" w:styleId="UnresolvedMention">
    <w:name w:val="Unresolved Mention"/>
    <w:basedOn w:val="DefaultParagraphFont"/>
    <w:uiPriority w:val="99"/>
    <w:semiHidden/>
    <w:unhideWhenUsed/>
    <w:rsid w:val="00777419"/>
    <w:rPr>
      <w:color w:val="605E5C"/>
      <w:shd w:val="clear" w:color="auto" w:fill="E1DFDD"/>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EF1B8A"/>
  </w:style>
  <w:style w:type="paragraph" w:customStyle="1" w:styleId="Frontpageheading">
    <w:name w:val="Frontpage heading"/>
    <w:basedOn w:val="Normal"/>
    <w:link w:val="FrontpageheadingChar"/>
    <w:qFormat/>
    <w:rsid w:val="006F40AA"/>
    <w:pPr>
      <w:tabs>
        <w:tab w:val="left" w:pos="2552"/>
      </w:tabs>
      <w:spacing w:after="200" w:line="276" w:lineRule="auto"/>
    </w:pPr>
    <w:rPr>
      <w:rFonts w:eastAsiaTheme="minorEastAsia" w:cs="Arial"/>
      <w:b/>
      <w:color w:val="003087"/>
      <w:sz w:val="72"/>
      <w:szCs w:val="72"/>
      <w:lang w:eastAsia="en-GB"/>
    </w:rPr>
  </w:style>
  <w:style w:type="character" w:customStyle="1" w:styleId="FrontpageheadingChar">
    <w:name w:val="Frontpage heading Char"/>
    <w:basedOn w:val="DefaultParagraphFont"/>
    <w:link w:val="Frontpageheading"/>
    <w:rsid w:val="006F40AA"/>
    <w:rPr>
      <w:rFonts w:eastAsiaTheme="minorEastAsia" w:cs="Arial"/>
      <w:b/>
      <w:color w:val="003087"/>
      <w:sz w:val="72"/>
      <w:szCs w:val="72"/>
      <w:lang w:eastAsia="en-GB"/>
    </w:rPr>
  </w:style>
  <w:style w:type="character" w:customStyle="1" w:styleId="cf01">
    <w:name w:val="cf01"/>
    <w:basedOn w:val="DefaultParagraphFont"/>
    <w:rsid w:val="006329FE"/>
    <w:rPr>
      <w:rFonts w:ascii="Segoe UI" w:hAnsi="Segoe UI" w:cs="Segoe UI" w:hint="default"/>
      <w:color w:val="231F20"/>
      <w:sz w:val="18"/>
      <w:szCs w:val="18"/>
    </w:rPr>
  </w:style>
  <w:style w:type="character" w:customStyle="1" w:styleId="cf11">
    <w:name w:val="cf11"/>
    <w:basedOn w:val="DefaultParagraphFont"/>
    <w:rsid w:val="006329FE"/>
    <w:rPr>
      <w:rFonts w:ascii="Segoe UI" w:hAnsi="Segoe UI" w:cs="Segoe UI" w:hint="default"/>
      <w:sz w:val="18"/>
      <w:szCs w:val="18"/>
    </w:rPr>
  </w:style>
  <w:style w:type="character" w:styleId="FollowedHyperlink">
    <w:name w:val="FollowedHyperlink"/>
    <w:basedOn w:val="DefaultParagraphFont"/>
    <w:uiPriority w:val="99"/>
    <w:semiHidden/>
    <w:unhideWhenUsed/>
    <w:rsid w:val="00F66D66"/>
    <w:rPr>
      <w:color w:val="954F72" w:themeColor="followedHyperlink"/>
      <w:u w:val="single"/>
    </w:rPr>
  </w:style>
  <w:style w:type="paragraph" w:styleId="NormalWeb">
    <w:name w:val="Normal (Web)"/>
    <w:basedOn w:val="Normal"/>
    <w:uiPriority w:val="99"/>
    <w:semiHidden/>
    <w:unhideWhenUsed/>
    <w:rsid w:val="00E76CE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75656">
      <w:bodyDiv w:val="1"/>
      <w:marLeft w:val="0"/>
      <w:marRight w:val="0"/>
      <w:marTop w:val="0"/>
      <w:marBottom w:val="0"/>
      <w:divBdr>
        <w:top w:val="none" w:sz="0" w:space="0" w:color="auto"/>
        <w:left w:val="none" w:sz="0" w:space="0" w:color="auto"/>
        <w:bottom w:val="none" w:sz="0" w:space="0" w:color="auto"/>
        <w:right w:val="none" w:sz="0" w:space="0" w:color="auto"/>
      </w:divBdr>
    </w:div>
    <w:div w:id="1469668424">
      <w:bodyDiv w:val="1"/>
      <w:marLeft w:val="0"/>
      <w:marRight w:val="0"/>
      <w:marTop w:val="0"/>
      <w:marBottom w:val="0"/>
      <w:divBdr>
        <w:top w:val="none" w:sz="0" w:space="0" w:color="auto"/>
        <w:left w:val="none" w:sz="0" w:space="0" w:color="auto"/>
        <w:bottom w:val="none" w:sz="0" w:space="0" w:color="auto"/>
        <w:right w:val="none" w:sz="0" w:space="0" w:color="auto"/>
      </w:divBdr>
    </w:div>
    <w:div w:id="1777360010">
      <w:bodyDiv w:val="1"/>
      <w:marLeft w:val="0"/>
      <w:marRight w:val="0"/>
      <w:marTop w:val="0"/>
      <w:marBottom w:val="0"/>
      <w:divBdr>
        <w:top w:val="none" w:sz="0" w:space="0" w:color="auto"/>
        <w:left w:val="none" w:sz="0" w:space="0" w:color="auto"/>
        <w:bottom w:val="none" w:sz="0" w:space="0" w:color="auto"/>
        <w:right w:val="none" w:sz="0" w:space="0" w:color="auto"/>
      </w:divBdr>
    </w:div>
    <w:div w:id="205927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cgi.global/sites/default/files/codes/documents/higgsreport.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thehub.bnssg.icb.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hehub.bnssg.icb.nhs.uk/find-teams/financial-services/financial-govern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cfa.nhs.uk/government-functional-standard/NHS-requirement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D9B64CA55D47D58F90DD8CE61D08D3"/>
        <w:category>
          <w:name w:val="General"/>
          <w:gallery w:val="placeholder"/>
        </w:category>
        <w:types>
          <w:type w:val="bbPlcHdr"/>
        </w:types>
        <w:behaviors>
          <w:behavior w:val="content"/>
        </w:behaviors>
        <w:guid w:val="{F4859EEE-88D6-469D-B9EF-262A5014FD3C}"/>
      </w:docPartPr>
      <w:docPartBody>
        <w:p w:rsidR="0064321D" w:rsidRDefault="002B4E71" w:rsidP="002B4E71">
          <w:pPr>
            <w:pStyle w:val="ADD9B64CA55D47D58F90DD8CE61D08D3"/>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08"/>
    <w:rsid w:val="000255D3"/>
    <w:rsid w:val="00031F08"/>
    <w:rsid w:val="00085157"/>
    <w:rsid w:val="00086EEE"/>
    <w:rsid w:val="000E01B3"/>
    <w:rsid w:val="000E53B3"/>
    <w:rsid w:val="000F55EC"/>
    <w:rsid w:val="001105F5"/>
    <w:rsid w:val="00132E26"/>
    <w:rsid w:val="00167D21"/>
    <w:rsid w:val="001B6D60"/>
    <w:rsid w:val="001F7FB8"/>
    <w:rsid w:val="00233187"/>
    <w:rsid w:val="00250725"/>
    <w:rsid w:val="00280FFE"/>
    <w:rsid w:val="00290CEF"/>
    <w:rsid w:val="002A483B"/>
    <w:rsid w:val="002B4E71"/>
    <w:rsid w:val="00317D16"/>
    <w:rsid w:val="003622C3"/>
    <w:rsid w:val="003A5902"/>
    <w:rsid w:val="003B024A"/>
    <w:rsid w:val="003F3B2A"/>
    <w:rsid w:val="004229F2"/>
    <w:rsid w:val="004B7A2A"/>
    <w:rsid w:val="0050795D"/>
    <w:rsid w:val="00525E97"/>
    <w:rsid w:val="00526A9C"/>
    <w:rsid w:val="0054330C"/>
    <w:rsid w:val="005461D8"/>
    <w:rsid w:val="00577849"/>
    <w:rsid w:val="00582932"/>
    <w:rsid w:val="005E405C"/>
    <w:rsid w:val="00603115"/>
    <w:rsid w:val="0064321D"/>
    <w:rsid w:val="0064575D"/>
    <w:rsid w:val="0066538A"/>
    <w:rsid w:val="006C517C"/>
    <w:rsid w:val="007279E5"/>
    <w:rsid w:val="00730FDB"/>
    <w:rsid w:val="007509B1"/>
    <w:rsid w:val="0086759C"/>
    <w:rsid w:val="00886FCD"/>
    <w:rsid w:val="008A67A2"/>
    <w:rsid w:val="008D62F2"/>
    <w:rsid w:val="009079F4"/>
    <w:rsid w:val="00965A1B"/>
    <w:rsid w:val="009A2C7C"/>
    <w:rsid w:val="009C025C"/>
    <w:rsid w:val="009F1562"/>
    <w:rsid w:val="00A06671"/>
    <w:rsid w:val="00A10D52"/>
    <w:rsid w:val="00A141B6"/>
    <w:rsid w:val="00A21BB2"/>
    <w:rsid w:val="00A608EA"/>
    <w:rsid w:val="00A826B9"/>
    <w:rsid w:val="00AA24AE"/>
    <w:rsid w:val="00AE5D32"/>
    <w:rsid w:val="00AE7E70"/>
    <w:rsid w:val="00B12054"/>
    <w:rsid w:val="00B47F4C"/>
    <w:rsid w:val="00B63A4C"/>
    <w:rsid w:val="00B77EA6"/>
    <w:rsid w:val="00B87E9C"/>
    <w:rsid w:val="00B976B8"/>
    <w:rsid w:val="00BB5F0D"/>
    <w:rsid w:val="00BD120D"/>
    <w:rsid w:val="00BE192D"/>
    <w:rsid w:val="00C12E74"/>
    <w:rsid w:val="00C71B5B"/>
    <w:rsid w:val="00CA0048"/>
    <w:rsid w:val="00CA796F"/>
    <w:rsid w:val="00CC2FE8"/>
    <w:rsid w:val="00CC6474"/>
    <w:rsid w:val="00CE755B"/>
    <w:rsid w:val="00D219BB"/>
    <w:rsid w:val="00D613A9"/>
    <w:rsid w:val="00D64F29"/>
    <w:rsid w:val="00D67C37"/>
    <w:rsid w:val="00D80B12"/>
    <w:rsid w:val="00D80EF2"/>
    <w:rsid w:val="00DE1086"/>
    <w:rsid w:val="00E12FF5"/>
    <w:rsid w:val="00E15C50"/>
    <w:rsid w:val="00E849A1"/>
    <w:rsid w:val="00F22805"/>
    <w:rsid w:val="00F46676"/>
    <w:rsid w:val="00FB0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E71"/>
    <w:rPr>
      <w:color w:val="auto"/>
      <w:bdr w:val="none" w:sz="0" w:space="0" w:color="auto"/>
      <w:shd w:val="clear" w:color="auto" w:fill="FFFF00"/>
    </w:rPr>
  </w:style>
  <w:style w:type="paragraph" w:customStyle="1" w:styleId="ADD9B64CA55D47D58F90DD8CE61D08D3">
    <w:name w:val="ADD9B64CA55D47D58F90DD8CE61D08D3"/>
    <w:rsid w:val="002B4E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d25b2137-af17-41e8-94fd-85c106d5c4f1" xsi:nil="true"/>
    <_Flow_SignoffStatus xmlns="d25b2137-af17-41e8-94fd-85c106d5c4f1" xsi:nil="true"/>
    <Whatisthisdocument xmlns="d25b2137-af17-41e8-94fd-85c106d5c4f1">TEstththth</Whatisthisdocument>
    <Whatthisis xmlns="d25b2137-af17-41e8-94fd-85c106d5c4f1" xsi:nil="true"/>
    <ContentDescription xmlns="d25b2137-af17-41e8-94fd-85c106d5c4f1" xsi:nil="true"/>
    <About xmlns="d25b2137-af17-41e8-94fd-85c106d5c4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F07E4BB4655F41B8AD90622C2DD63D" ma:contentTypeVersion="40" ma:contentTypeDescription="Create a new document." ma:contentTypeScope="" ma:versionID="abbff452d63f32ccee66ff2acbe28b64">
  <xsd:schema xmlns:xsd="http://www.w3.org/2001/XMLSchema" xmlns:xs="http://www.w3.org/2001/XMLSchema" xmlns:p="http://schemas.microsoft.com/office/2006/metadata/properties" xmlns:ns1="http://schemas.microsoft.com/sharepoint/v3" xmlns:ns2="d25b2137-af17-41e8-94fd-85c106d5c4f1" xmlns:ns3="48ec9c36-d908-4ebe-96cf-3d1e494044ca" targetNamespace="http://schemas.microsoft.com/office/2006/metadata/properties" ma:root="true" ma:fieldsID="5fd4f55c930b02f7499fb775f5a8cb2c" ns1:_="" ns2:_="" ns3:_="">
    <xsd:import namespace="http://schemas.microsoft.com/sharepoint/v3"/>
    <xsd:import namespace="d25b2137-af17-41e8-94fd-85c106d5c4f1"/>
    <xsd:import namespace="48ec9c36-d908-4ebe-96cf-3d1e494044ca"/>
    <xsd:element name="properties">
      <xsd:complexType>
        <xsd:sequence>
          <xsd:element name="documentManagement">
            <xsd:complexType>
              <xsd:all>
                <xsd:element ref="ns2:_Flow_SignoffStatus" minOccurs="0"/>
                <xsd:element ref="ns3:SharedWithUsers" minOccurs="0"/>
                <xsd:element ref="ns3:SharedWithDetails" minOccurs="0"/>
                <xsd:element ref="ns2:About" minOccurs="0"/>
                <xsd:element ref="ns2:Whatisthisdocument" minOccurs="0"/>
                <xsd:element ref="ns2:Whatthisis" minOccurs="0"/>
                <xsd:element ref="ns2:Review_x0020_Date" minOccurs="0"/>
                <xsd:element ref="ns2:ContentDescription"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5b2137-af17-41e8-94fd-85c106d5c4f1"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About" ma:index="11" nillable="true" ma:displayName="About" ma:format="Dropdown" ma:internalName="About">
      <xsd:simpleType>
        <xsd:restriction base="dms:Note">
          <xsd:maxLength value="255"/>
        </xsd:restriction>
      </xsd:simpleType>
    </xsd:element>
    <xsd:element name="Whatisthisdocument" ma:index="12" nillable="true" ma:displayName="What is this document" ma:default="TEstththth" ma:format="Dropdown" ma:internalName="Whatisthisdocument">
      <xsd:simpleType>
        <xsd:restriction base="dms:Text">
          <xsd:maxLength value="255"/>
        </xsd:restriction>
      </xsd:simpleType>
    </xsd:element>
    <xsd:element name="Whatthisis" ma:index="13" nillable="true" ma:displayName="Folder Manager" ma:format="Dropdown" ma:internalName="Whatthisis">
      <xsd:simpleType>
        <xsd:restriction base="dms:Note">
          <xsd:maxLength value="255"/>
        </xsd:restriction>
      </xsd:simpleType>
    </xsd:element>
    <xsd:element name="Review_x0020_Date" ma:index="14" nillable="true" ma:displayName="Review date" ma:indexed="true" ma:internalName="Review_x0020_Date">
      <xsd:simpleType>
        <xsd:restriction base="dms:Text"/>
      </xsd:simpleType>
    </xsd:element>
    <xsd:element name="ContentDescription" ma:index="15" nillable="true" ma:displayName="Content Description" ma:format="Dropdown" ma:internalName="ContentDescription">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ec9c36-d908-4ebe-96cf-3d1e494044c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3D47D-DC4C-4DE7-9E6B-FA528D3D3864}">
  <ds:schemaRefs>
    <ds:schemaRef ds:uri="http://schemas.openxmlformats.org/officeDocument/2006/bibliography"/>
  </ds:schemaRefs>
</ds:datastoreItem>
</file>

<file path=customXml/itemProps2.xml><?xml version="1.0" encoding="utf-8"?>
<ds:datastoreItem xmlns:ds="http://schemas.openxmlformats.org/officeDocument/2006/customXml" ds:itemID="{A013909F-9C55-4F30-B319-6D0C25F680AD}">
  <ds:schemaRefs>
    <ds:schemaRef ds:uri="http://schemas.microsoft.com/sharepoint/v3/contenttype/forms"/>
  </ds:schemaRefs>
</ds:datastoreItem>
</file>

<file path=customXml/itemProps3.xml><?xml version="1.0" encoding="utf-8"?>
<ds:datastoreItem xmlns:ds="http://schemas.openxmlformats.org/officeDocument/2006/customXml" ds:itemID="{D3EE0724-4439-4C76-A3EA-2E27EBE696E7}">
  <ds:schemaRefs>
    <ds:schemaRef ds:uri="http://schemas.microsoft.com/office/2006/metadata/properties"/>
    <ds:schemaRef ds:uri="http://schemas.microsoft.com/office/infopath/2007/PartnerControls"/>
    <ds:schemaRef ds:uri="http://schemas.microsoft.com/sharepoint/v3"/>
    <ds:schemaRef ds:uri="d25b2137-af17-41e8-94fd-85c106d5c4f1"/>
  </ds:schemaRefs>
</ds:datastoreItem>
</file>

<file path=customXml/itemProps4.xml><?xml version="1.0" encoding="utf-8"?>
<ds:datastoreItem xmlns:ds="http://schemas.openxmlformats.org/officeDocument/2006/customXml" ds:itemID="{424EF97C-10DC-47AB-937B-FA3A4E8F8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5b2137-af17-41e8-94fd-85c106d5c4f1"/>
    <ds:schemaRef ds:uri="48ec9c36-d908-4ebe-96cf-3d1e49404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65</Pages>
  <Words>15904</Words>
  <Characters>87313</Characters>
  <Application>Microsoft Office Word</Application>
  <DocSecurity>0</DocSecurity>
  <Lines>2030</Lines>
  <Paragraphs>1134</Paragraphs>
  <ScaleCrop>false</ScaleCrop>
  <HeadingPairs>
    <vt:vector size="2" baseType="variant">
      <vt:variant>
        <vt:lpstr>Title</vt:lpstr>
      </vt:variant>
      <vt:variant>
        <vt:i4>1</vt:i4>
      </vt:variant>
    </vt:vector>
  </HeadingPairs>
  <TitlesOfParts>
    <vt:vector size="1" baseType="lpstr">
      <vt:lpstr/>
    </vt:vector>
  </TitlesOfParts>
  <Manager/>
  <Company>NHS</Company>
  <LinksUpToDate>false</LinksUpToDate>
  <CharactersWithSpaces>102083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Gannon, Rosemary</dc:creator>
  <cp:keywords/>
  <dc:description/>
  <cp:lastModifiedBy>HAYDAY, Robert (NHS BRISTOL, NORTH SOMERSET AND SOUTH GLOUCESTERSHIRE ICB - 15C)</cp:lastModifiedBy>
  <cp:revision>7</cp:revision>
  <cp:lastPrinted>2023-12-07T13:38:00Z</cp:lastPrinted>
  <dcterms:created xsi:type="dcterms:W3CDTF">2026-05-28T08:18:00Z</dcterms:created>
  <dcterms:modified xsi:type="dcterms:W3CDTF">2026-05-28T08:31:00Z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0x01010006F07E4BB4655F41B8AD90622C2DD63D</vt:lpwstr>
  </property>
</Properties>
</file>