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248" w:val="left" w:leader="none"/>
        </w:tabs>
        <w:spacing w:line="240" w:lineRule="auto"/>
        <w:ind w:left="310" w:right="0" w:firstLine="0"/>
        <w:rPr>
          <w:rFonts w:ascii="Times New Roman"/>
          <w:sz w:val="20"/>
        </w:rPr>
      </w:pPr>
      <w:r>
        <w:rPr>
          <w:rFonts w:ascii="Times New Roman"/>
          <w:sz w:val="20"/>
        </w:rPr>
        <w:drawing>
          <wp:inline distT="0" distB="0" distL="0" distR="0">
            <wp:extent cx="3134181" cy="685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34181" cy="685800"/>
                    </a:xfrm>
                    <a:prstGeom prst="rect">
                      <a:avLst/>
                    </a:prstGeom>
                  </pic:spPr>
                </pic:pic>
              </a:graphicData>
            </a:graphic>
          </wp:inline>
        </w:drawing>
      </w:r>
      <w:r>
        <w:rPr>
          <w:rFonts w:ascii="Times New Roman"/>
          <w:sz w:val="20"/>
        </w:rPr>
      </w:r>
      <w:r>
        <w:rPr>
          <w:rFonts w:ascii="Times New Roman"/>
          <w:sz w:val="20"/>
        </w:rPr>
        <w:tab/>
      </w:r>
      <w:r>
        <w:rPr>
          <w:rFonts w:ascii="Times New Roman"/>
          <w:position w:val="8"/>
          <w:sz w:val="20"/>
        </w:rPr>
        <w:drawing>
          <wp:inline distT="0" distB="0" distL="0" distR="0">
            <wp:extent cx="1872200" cy="6827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72200" cy="682751"/>
                    </a:xfrm>
                    <a:prstGeom prst="rect">
                      <a:avLst/>
                    </a:prstGeom>
                  </pic:spPr>
                </pic:pic>
              </a:graphicData>
            </a:graphic>
          </wp:inline>
        </w:drawing>
      </w:r>
      <w:r>
        <w:rPr>
          <w:rFonts w:ascii="Times New Roman"/>
          <w:position w:val="8"/>
          <w:sz w:val="20"/>
        </w:rPr>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466"/>
        <w:rPr>
          <w:rFonts w:ascii="Times New Roman"/>
          <w:sz w:val="48"/>
        </w:rPr>
      </w:pPr>
    </w:p>
    <w:p>
      <w:pPr>
        <w:pStyle w:val="Heading1"/>
        <w:spacing w:before="1"/>
      </w:pPr>
      <w:bookmarkStart w:name="_bookmark0" w:id="1"/>
      <w:bookmarkEnd w:id="1"/>
      <w:r>
        <w:rPr/>
      </w:r>
      <w:r>
        <w:rPr>
          <w:color w:val="1C1F62"/>
        </w:rPr>
        <w:t>Information</w:t>
      </w:r>
      <w:r>
        <w:rPr>
          <w:color w:val="1C1F62"/>
          <w:spacing w:val="-4"/>
        </w:rPr>
        <w:t> </w:t>
      </w:r>
      <w:r>
        <w:rPr>
          <w:color w:val="1C1F62"/>
        </w:rPr>
        <w:t>Governance</w:t>
      </w:r>
      <w:r>
        <w:rPr>
          <w:color w:val="1C1F62"/>
          <w:spacing w:val="-4"/>
        </w:rPr>
        <w:t> </w:t>
      </w:r>
      <w:r>
        <w:rPr>
          <w:color w:val="1C1F62"/>
          <w:spacing w:val="-2"/>
        </w:rPr>
        <w:t>Policy</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56"/>
        <w:rPr>
          <w:rFonts w:ascii="Arial Black"/>
          <w:sz w:val="20"/>
        </w:rPr>
      </w:pPr>
      <w:r>
        <w:rPr/>
        <w:drawing>
          <wp:anchor distT="0" distB="0" distL="0" distR="0" allowOverlap="1" layoutInCell="1" locked="0" behindDoc="1" simplePos="0" relativeHeight="487587840">
            <wp:simplePos x="0" y="0"/>
            <wp:positionH relativeFrom="page">
              <wp:posOffset>428625</wp:posOffset>
            </wp:positionH>
            <wp:positionV relativeFrom="paragraph">
              <wp:posOffset>230011</wp:posOffset>
            </wp:positionV>
            <wp:extent cx="6243445" cy="2849880"/>
            <wp:effectExtent l="0" t="0" r="0" b="0"/>
            <wp:wrapTopAndBottom/>
            <wp:docPr id="4" name="Image 4" descr="A group of colorful circles with text  Description automatically generated"/>
            <wp:cNvGraphicFramePr>
              <a:graphicFrameLocks/>
            </wp:cNvGraphicFramePr>
            <a:graphic>
              <a:graphicData uri="http://schemas.openxmlformats.org/drawingml/2006/picture">
                <pic:pic>
                  <pic:nvPicPr>
                    <pic:cNvPr id="4" name="Image 4" descr="A group of colorful circles with text  Description automatically generated"/>
                    <pic:cNvPicPr/>
                  </pic:nvPicPr>
                  <pic:blipFill>
                    <a:blip r:embed="rId8" cstate="print"/>
                    <a:stretch>
                      <a:fillRect/>
                    </a:stretch>
                  </pic:blipFill>
                  <pic:spPr>
                    <a:xfrm>
                      <a:off x="0" y="0"/>
                      <a:ext cx="6243445" cy="2849880"/>
                    </a:xfrm>
                    <a:prstGeom prst="rect">
                      <a:avLst/>
                    </a:prstGeom>
                  </pic:spPr>
                </pic:pic>
              </a:graphicData>
            </a:graphic>
          </wp:anchor>
        </w:drawing>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234"/>
        <w:rPr>
          <w:rFonts w:ascii="Arial Black"/>
          <w:sz w:val="20"/>
        </w:rPr>
      </w:pPr>
    </w:p>
    <w:p>
      <w:pPr>
        <w:spacing w:before="0"/>
        <w:ind w:left="123" w:right="0" w:firstLine="0"/>
        <w:jc w:val="center"/>
        <w:rPr>
          <w:sz w:val="20"/>
        </w:rPr>
      </w:pPr>
      <w:r>
        <w:rPr/>
        <w:drawing>
          <wp:anchor distT="0" distB="0" distL="0" distR="0" allowOverlap="1" layoutInCell="1" locked="0" behindDoc="1" simplePos="0" relativeHeight="487588352">
            <wp:simplePos x="0" y="0"/>
            <wp:positionH relativeFrom="page">
              <wp:posOffset>745132</wp:posOffset>
            </wp:positionH>
            <wp:positionV relativeFrom="paragraph">
              <wp:posOffset>174400</wp:posOffset>
            </wp:positionV>
            <wp:extent cx="1677131" cy="15087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677131" cy="150876"/>
                    </a:xfrm>
                    <a:prstGeom prst="rect">
                      <a:avLst/>
                    </a:prstGeom>
                  </pic:spPr>
                </pic:pic>
              </a:graphicData>
            </a:graphic>
          </wp:anchor>
        </w:drawing>
      </w:r>
      <w:r>
        <w:rPr>
          <w:spacing w:val="-10"/>
          <w:sz w:val="20"/>
        </w:rPr>
        <w:t>1</w:t>
      </w:r>
    </w:p>
    <w:p>
      <w:pPr>
        <w:spacing w:after="0"/>
        <w:jc w:val="center"/>
        <w:rPr>
          <w:sz w:val="20"/>
        </w:rPr>
        <w:sectPr>
          <w:footerReference w:type="default" r:id="rId5"/>
          <w:type w:val="continuous"/>
          <w:pgSz w:w="11910" w:h="16840"/>
          <w:pgMar w:header="0" w:footer="0" w:top="260" w:bottom="60" w:left="560" w:right="680"/>
          <w:pgNumType w:start="1"/>
        </w:sectPr>
      </w:pPr>
    </w:p>
    <w:p>
      <w:pPr>
        <w:pStyle w:val="BodyText"/>
        <w:rPr>
          <w:sz w:val="20"/>
        </w:rPr>
      </w:pPr>
    </w:p>
    <w:p>
      <w:pPr>
        <w:pStyle w:val="BodyText"/>
        <w:spacing w:before="22"/>
        <w:rPr>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6"/>
        <w:gridCol w:w="5812"/>
      </w:tblGrid>
      <w:tr>
        <w:trPr>
          <w:trHeight w:val="561" w:hRule="atLeast"/>
        </w:trPr>
        <w:tc>
          <w:tcPr>
            <w:tcW w:w="9778" w:type="dxa"/>
            <w:gridSpan w:val="2"/>
            <w:tcBorders>
              <w:bottom w:val="nil"/>
            </w:tcBorders>
            <w:shd w:val="clear" w:color="auto" w:fill="1C1F62"/>
          </w:tcPr>
          <w:p>
            <w:pPr>
              <w:pStyle w:val="TableParagraph"/>
              <w:spacing w:line="270" w:lineRule="atLeast"/>
              <w:ind w:right="172"/>
              <w:rPr>
                <w:rFonts w:ascii="Arial"/>
                <w:b/>
                <w:sz w:val="24"/>
              </w:rPr>
            </w:pPr>
            <w:r>
              <w:rPr>
                <w:rFonts w:ascii="Arial"/>
                <w:b/>
                <w:color w:val="FFFFFF"/>
                <w:sz w:val="24"/>
              </w:rPr>
              <w:t>Complete</w:t>
            </w:r>
            <w:r>
              <w:rPr>
                <w:rFonts w:ascii="Arial"/>
                <w:b/>
                <w:color w:val="FFFFFF"/>
                <w:spacing w:val="-3"/>
                <w:sz w:val="24"/>
              </w:rPr>
              <w:t> </w:t>
            </w:r>
            <w:r>
              <w:rPr>
                <w:rFonts w:ascii="Arial"/>
                <w:b/>
                <w:color w:val="FFFFFF"/>
                <w:sz w:val="24"/>
              </w:rPr>
              <w:t>the</w:t>
            </w:r>
            <w:r>
              <w:rPr>
                <w:rFonts w:ascii="Arial"/>
                <w:b/>
                <w:color w:val="FFFFFF"/>
                <w:spacing w:val="-2"/>
                <w:sz w:val="24"/>
              </w:rPr>
              <w:t> </w:t>
            </w:r>
            <w:r>
              <w:rPr>
                <w:rFonts w:ascii="Arial"/>
                <w:b/>
                <w:color w:val="FFFFFF"/>
                <w:sz w:val="24"/>
              </w:rPr>
              <w:t>blank</w:t>
            </w:r>
            <w:r>
              <w:rPr>
                <w:rFonts w:ascii="Arial"/>
                <w:b/>
                <w:color w:val="FFFFFF"/>
                <w:spacing w:val="-3"/>
                <w:sz w:val="24"/>
              </w:rPr>
              <w:t> </w:t>
            </w:r>
            <w:r>
              <w:rPr>
                <w:rFonts w:ascii="Arial"/>
                <w:b/>
                <w:color w:val="FFFFFF"/>
                <w:sz w:val="24"/>
              </w:rPr>
              <w:t>cells</w:t>
            </w:r>
            <w:r>
              <w:rPr>
                <w:rFonts w:ascii="Arial"/>
                <w:b/>
                <w:color w:val="FFFFFF"/>
                <w:spacing w:val="-5"/>
                <w:sz w:val="24"/>
              </w:rPr>
              <w:t> </w:t>
            </w:r>
            <w:r>
              <w:rPr>
                <w:rFonts w:ascii="Arial"/>
                <w:b/>
                <w:color w:val="FFFFFF"/>
                <w:sz w:val="24"/>
              </w:rPr>
              <w:t>in</w:t>
            </w:r>
            <w:r>
              <w:rPr>
                <w:rFonts w:ascii="Arial"/>
                <w:b/>
                <w:color w:val="FFFFFF"/>
                <w:spacing w:val="-3"/>
                <w:sz w:val="24"/>
              </w:rPr>
              <w:t> </w:t>
            </w:r>
            <w:r>
              <w:rPr>
                <w:rFonts w:ascii="Arial"/>
                <w:b/>
                <w:color w:val="FFFFFF"/>
                <w:sz w:val="24"/>
              </w:rPr>
              <w:t>the</w:t>
            </w:r>
            <w:r>
              <w:rPr>
                <w:rFonts w:ascii="Arial"/>
                <w:b/>
                <w:color w:val="FFFFFF"/>
                <w:spacing w:val="-3"/>
                <w:sz w:val="24"/>
              </w:rPr>
              <w:t> </w:t>
            </w:r>
            <w:r>
              <w:rPr>
                <w:rFonts w:ascii="Arial"/>
                <w:b/>
                <w:color w:val="FFFFFF"/>
                <w:sz w:val="24"/>
              </w:rPr>
              <w:t>table</w:t>
            </w:r>
            <w:r>
              <w:rPr>
                <w:rFonts w:ascii="Arial"/>
                <w:b/>
                <w:color w:val="FFFFFF"/>
                <w:spacing w:val="-3"/>
                <w:sz w:val="24"/>
              </w:rPr>
              <w:t> </w:t>
            </w:r>
            <w:r>
              <w:rPr>
                <w:rFonts w:ascii="Arial"/>
                <w:b/>
                <w:color w:val="FFFFFF"/>
                <w:sz w:val="24"/>
              </w:rPr>
              <w:t>below.</w:t>
            </w:r>
            <w:r>
              <w:rPr>
                <w:rFonts w:ascii="Arial"/>
                <w:b/>
                <w:color w:val="FFFFFF"/>
                <w:spacing w:val="-5"/>
                <w:sz w:val="24"/>
              </w:rPr>
              <w:t> </w:t>
            </w:r>
            <w:r>
              <w:rPr>
                <w:rFonts w:ascii="Arial"/>
                <w:b/>
                <w:color w:val="FFFFFF"/>
                <w:sz w:val="24"/>
              </w:rPr>
              <w:t>The</w:t>
            </w:r>
            <w:r>
              <w:rPr>
                <w:rFonts w:ascii="Arial"/>
                <w:b/>
                <w:color w:val="FFFFFF"/>
                <w:spacing w:val="-3"/>
                <w:sz w:val="24"/>
              </w:rPr>
              <w:t> </w:t>
            </w:r>
            <w:r>
              <w:rPr>
                <w:rFonts w:ascii="Arial"/>
                <w:b/>
                <w:color w:val="FFFFFF"/>
                <w:sz w:val="24"/>
              </w:rPr>
              <w:t>rest</w:t>
            </w:r>
            <w:r>
              <w:rPr>
                <w:rFonts w:ascii="Arial"/>
                <w:b/>
                <w:color w:val="FFFFFF"/>
                <w:spacing w:val="-3"/>
                <w:sz w:val="24"/>
              </w:rPr>
              <w:t> </w:t>
            </w:r>
            <w:r>
              <w:rPr>
                <w:rFonts w:ascii="Arial"/>
                <w:b/>
                <w:color w:val="FFFFFF"/>
                <w:sz w:val="24"/>
              </w:rPr>
              <w:t>will</w:t>
            </w:r>
            <w:r>
              <w:rPr>
                <w:rFonts w:ascii="Arial"/>
                <w:b/>
                <w:color w:val="FFFFFF"/>
                <w:spacing w:val="-3"/>
                <w:sz w:val="24"/>
              </w:rPr>
              <w:t> </w:t>
            </w:r>
            <w:r>
              <w:rPr>
                <w:rFonts w:ascii="Arial"/>
                <w:b/>
                <w:color w:val="FFFFFF"/>
                <w:sz w:val="24"/>
              </w:rPr>
              <w:t>be</w:t>
            </w:r>
            <w:r>
              <w:rPr>
                <w:rFonts w:ascii="Arial"/>
                <w:b/>
                <w:color w:val="FFFFFF"/>
                <w:spacing w:val="-5"/>
                <w:sz w:val="24"/>
              </w:rPr>
              <w:t> </w:t>
            </w:r>
            <w:r>
              <w:rPr>
                <w:rFonts w:ascii="Arial"/>
                <w:b/>
                <w:color w:val="FFFFFF"/>
                <w:sz w:val="24"/>
              </w:rPr>
              <w:t>added</w:t>
            </w:r>
            <w:r>
              <w:rPr>
                <w:rFonts w:ascii="Arial"/>
                <w:b/>
                <w:color w:val="FFFFFF"/>
                <w:spacing w:val="-3"/>
                <w:sz w:val="24"/>
              </w:rPr>
              <w:t> </w:t>
            </w:r>
            <w:r>
              <w:rPr>
                <w:rFonts w:ascii="Arial"/>
                <w:b/>
                <w:color w:val="FFFFFF"/>
                <w:sz w:val="24"/>
              </w:rPr>
              <w:t>by</w:t>
            </w:r>
            <w:r>
              <w:rPr>
                <w:rFonts w:ascii="Arial"/>
                <w:b/>
                <w:color w:val="FFFFFF"/>
                <w:spacing w:val="-3"/>
                <w:sz w:val="24"/>
              </w:rPr>
              <w:t> </w:t>
            </w:r>
            <w:r>
              <w:rPr>
                <w:rFonts w:ascii="Arial"/>
                <w:b/>
                <w:color w:val="FFFFFF"/>
                <w:sz w:val="24"/>
              </w:rPr>
              <w:t>the corporate team once the policy approved and before it is added to the website.</w:t>
            </w:r>
          </w:p>
        </w:tc>
      </w:tr>
      <w:tr>
        <w:trPr>
          <w:trHeight w:val="275" w:hRule="atLeast"/>
        </w:trPr>
        <w:tc>
          <w:tcPr>
            <w:tcW w:w="3966" w:type="dxa"/>
            <w:tcBorders>
              <w:top w:val="nil"/>
              <w:bottom w:val="nil"/>
            </w:tcBorders>
            <w:shd w:val="clear" w:color="auto" w:fill="1C1F62"/>
          </w:tcPr>
          <w:p>
            <w:pPr>
              <w:pStyle w:val="TableParagraph"/>
              <w:spacing w:line="255" w:lineRule="exact"/>
              <w:rPr>
                <w:rFonts w:ascii="Arial"/>
                <w:b/>
                <w:sz w:val="24"/>
              </w:rPr>
            </w:pPr>
            <w:r>
              <w:rPr>
                <w:rFonts w:ascii="Arial"/>
                <w:b/>
                <w:color w:val="FFFFFF"/>
                <w:sz w:val="24"/>
              </w:rPr>
              <w:t>Policy</w:t>
            </w:r>
            <w:r>
              <w:rPr>
                <w:rFonts w:ascii="Arial"/>
                <w:b/>
                <w:color w:val="FFFFFF"/>
                <w:spacing w:val="-3"/>
                <w:sz w:val="24"/>
              </w:rPr>
              <w:t> </w:t>
            </w:r>
            <w:r>
              <w:rPr>
                <w:rFonts w:ascii="Arial"/>
                <w:b/>
                <w:color w:val="FFFFFF"/>
                <w:sz w:val="24"/>
              </w:rPr>
              <w:t>ref</w:t>
            </w:r>
            <w:r>
              <w:rPr>
                <w:rFonts w:ascii="Arial"/>
                <w:b/>
                <w:color w:val="FFFFFF"/>
                <w:spacing w:val="-1"/>
                <w:sz w:val="24"/>
              </w:rPr>
              <w:t> </w:t>
            </w:r>
            <w:r>
              <w:rPr>
                <w:rFonts w:ascii="Arial"/>
                <w:b/>
                <w:color w:val="FFFFFF"/>
                <w:spacing w:val="-5"/>
                <w:sz w:val="24"/>
              </w:rPr>
              <w:t>no:</w:t>
            </w:r>
          </w:p>
        </w:tc>
        <w:tc>
          <w:tcPr>
            <w:tcW w:w="5812" w:type="dxa"/>
            <w:tcBorders>
              <w:top w:val="nil"/>
            </w:tcBorders>
          </w:tcPr>
          <w:p>
            <w:pPr>
              <w:pStyle w:val="TableParagraph"/>
              <w:spacing w:line="255" w:lineRule="exact"/>
              <w:ind w:left="107"/>
              <w:rPr>
                <w:sz w:val="24"/>
              </w:rPr>
            </w:pPr>
            <w:r>
              <w:rPr>
                <w:spacing w:val="-5"/>
                <w:sz w:val="24"/>
              </w:rPr>
              <w:t>10</w:t>
            </w:r>
          </w:p>
        </w:tc>
      </w:tr>
      <w:tr>
        <w:trPr>
          <w:trHeight w:val="277" w:hRule="atLeast"/>
        </w:trPr>
        <w:tc>
          <w:tcPr>
            <w:tcW w:w="3966" w:type="dxa"/>
            <w:tcBorders>
              <w:top w:val="nil"/>
              <w:bottom w:val="nil"/>
            </w:tcBorders>
            <w:shd w:val="clear" w:color="auto" w:fill="1C1F62"/>
          </w:tcPr>
          <w:p>
            <w:pPr>
              <w:pStyle w:val="TableParagraph"/>
              <w:spacing w:line="255" w:lineRule="exact" w:before="2"/>
              <w:rPr>
                <w:rFonts w:ascii="Arial"/>
                <w:b/>
                <w:sz w:val="24"/>
              </w:rPr>
            </w:pPr>
            <w:r>
              <w:rPr>
                <w:rFonts w:ascii="Arial"/>
                <w:b/>
                <w:color w:val="FFFFFF"/>
                <w:sz w:val="24"/>
              </w:rPr>
              <w:t>Responsible</w:t>
            </w:r>
            <w:r>
              <w:rPr>
                <w:rFonts w:ascii="Arial"/>
                <w:b/>
                <w:color w:val="FFFFFF"/>
                <w:spacing w:val="-14"/>
                <w:sz w:val="24"/>
              </w:rPr>
              <w:t> </w:t>
            </w:r>
            <w:r>
              <w:rPr>
                <w:rFonts w:ascii="Arial"/>
                <w:b/>
                <w:color w:val="FFFFFF"/>
                <w:sz w:val="24"/>
              </w:rPr>
              <w:t>Executive</w:t>
            </w:r>
            <w:r>
              <w:rPr>
                <w:rFonts w:ascii="Arial"/>
                <w:b/>
                <w:color w:val="FFFFFF"/>
                <w:spacing w:val="-8"/>
                <w:sz w:val="24"/>
              </w:rPr>
              <w:t> </w:t>
            </w:r>
            <w:r>
              <w:rPr>
                <w:rFonts w:ascii="Arial"/>
                <w:b/>
                <w:color w:val="FFFFFF"/>
                <w:spacing w:val="-2"/>
                <w:sz w:val="24"/>
              </w:rPr>
              <w:t>Director:</w:t>
            </w:r>
          </w:p>
        </w:tc>
        <w:tc>
          <w:tcPr>
            <w:tcW w:w="5812" w:type="dxa"/>
          </w:tcPr>
          <w:p>
            <w:pPr>
              <w:pStyle w:val="TableParagraph"/>
              <w:spacing w:line="255" w:lineRule="exact" w:before="2"/>
              <w:ind w:left="107"/>
              <w:rPr>
                <w:sz w:val="24"/>
              </w:rPr>
            </w:pPr>
            <w:r>
              <w:rPr>
                <w:sz w:val="24"/>
              </w:rPr>
              <w:t>Deborah</w:t>
            </w:r>
            <w:r>
              <w:rPr>
                <w:spacing w:val="-16"/>
                <w:sz w:val="24"/>
              </w:rPr>
              <w:t> </w:t>
            </w:r>
            <w:r>
              <w:rPr>
                <w:sz w:val="24"/>
              </w:rPr>
              <w:t>El-</w:t>
            </w:r>
            <w:r>
              <w:rPr>
                <w:spacing w:val="-2"/>
                <w:sz w:val="24"/>
              </w:rPr>
              <w:t>Sayed</w:t>
            </w:r>
          </w:p>
        </w:tc>
      </w:tr>
      <w:tr>
        <w:trPr>
          <w:trHeight w:val="275" w:hRule="atLeast"/>
        </w:trPr>
        <w:tc>
          <w:tcPr>
            <w:tcW w:w="3966" w:type="dxa"/>
            <w:tcBorders>
              <w:top w:val="nil"/>
              <w:bottom w:val="nil"/>
            </w:tcBorders>
            <w:shd w:val="clear" w:color="auto" w:fill="1C1F62"/>
          </w:tcPr>
          <w:p>
            <w:pPr>
              <w:pStyle w:val="TableParagraph"/>
              <w:spacing w:line="255" w:lineRule="exact"/>
              <w:rPr>
                <w:rFonts w:ascii="Arial"/>
                <w:b/>
                <w:sz w:val="24"/>
              </w:rPr>
            </w:pPr>
            <w:r>
              <w:rPr>
                <w:rFonts w:ascii="Arial"/>
                <w:b/>
                <w:color w:val="FFFFFF"/>
                <w:sz w:val="24"/>
              </w:rPr>
              <w:t>Author</w:t>
            </w:r>
            <w:r>
              <w:rPr>
                <w:rFonts w:ascii="Arial"/>
                <w:b/>
                <w:color w:val="FFFFFF"/>
                <w:spacing w:val="-3"/>
                <w:sz w:val="24"/>
              </w:rPr>
              <w:t> </w:t>
            </w:r>
            <w:r>
              <w:rPr>
                <w:rFonts w:ascii="Arial"/>
                <w:b/>
                <w:color w:val="FFFFFF"/>
                <w:sz w:val="24"/>
              </w:rPr>
              <w:t>and</w:t>
            </w:r>
            <w:r>
              <w:rPr>
                <w:rFonts w:ascii="Arial"/>
                <w:b/>
                <w:color w:val="FFFFFF"/>
                <w:spacing w:val="-3"/>
                <w:sz w:val="24"/>
              </w:rPr>
              <w:t> </w:t>
            </w:r>
            <w:r>
              <w:rPr>
                <w:rFonts w:ascii="Arial"/>
                <w:b/>
                <w:color w:val="FFFFFF"/>
                <w:sz w:val="24"/>
              </w:rPr>
              <w:t>Job</w:t>
            </w:r>
            <w:r>
              <w:rPr>
                <w:rFonts w:ascii="Arial"/>
                <w:b/>
                <w:color w:val="FFFFFF"/>
                <w:spacing w:val="-2"/>
                <w:sz w:val="24"/>
              </w:rPr>
              <w:t> Title:</w:t>
            </w:r>
          </w:p>
        </w:tc>
        <w:tc>
          <w:tcPr>
            <w:tcW w:w="5812" w:type="dxa"/>
          </w:tcPr>
          <w:p>
            <w:pPr>
              <w:pStyle w:val="TableParagraph"/>
              <w:spacing w:line="206" w:lineRule="exact"/>
              <w:ind w:left="107"/>
              <w:rPr>
                <w:rFonts w:ascii="Arial"/>
                <w:b/>
                <w:sz w:val="18"/>
              </w:rPr>
            </w:pPr>
            <w:r>
              <w:rPr>
                <w:rFonts w:ascii="Arial"/>
                <w:b/>
                <w:sz w:val="18"/>
              </w:rPr>
              <w:t>Information</w:t>
            </w:r>
            <w:r>
              <w:rPr>
                <w:rFonts w:ascii="Arial"/>
                <w:b/>
                <w:spacing w:val="-4"/>
                <w:sz w:val="18"/>
              </w:rPr>
              <w:t> </w:t>
            </w:r>
            <w:r>
              <w:rPr>
                <w:rFonts w:ascii="Arial"/>
                <w:b/>
                <w:sz w:val="18"/>
              </w:rPr>
              <w:t>Governance</w:t>
            </w:r>
            <w:r>
              <w:rPr>
                <w:rFonts w:ascii="Arial"/>
                <w:b/>
                <w:spacing w:val="-4"/>
                <w:sz w:val="18"/>
              </w:rPr>
              <w:t> </w:t>
            </w:r>
            <w:r>
              <w:rPr>
                <w:rFonts w:ascii="Arial"/>
                <w:b/>
                <w:sz w:val="18"/>
              </w:rPr>
              <w:t>Team,</w:t>
            </w:r>
            <w:r>
              <w:rPr>
                <w:rFonts w:ascii="Arial"/>
                <w:b/>
                <w:spacing w:val="-4"/>
                <w:sz w:val="18"/>
              </w:rPr>
              <w:t> </w:t>
            </w:r>
            <w:r>
              <w:rPr>
                <w:rFonts w:ascii="Arial"/>
                <w:b/>
                <w:sz w:val="18"/>
              </w:rPr>
              <w:t>SCW</w:t>
            </w:r>
            <w:r>
              <w:rPr>
                <w:rFonts w:ascii="Arial"/>
                <w:b/>
                <w:spacing w:val="-4"/>
                <w:sz w:val="18"/>
              </w:rPr>
              <w:t> </w:t>
            </w:r>
            <w:r>
              <w:rPr>
                <w:rFonts w:ascii="Arial"/>
                <w:b/>
                <w:spacing w:val="-5"/>
                <w:sz w:val="18"/>
              </w:rPr>
              <w:t>CSU</w:t>
            </w:r>
          </w:p>
        </w:tc>
      </w:tr>
      <w:tr>
        <w:trPr>
          <w:trHeight w:val="275" w:hRule="atLeast"/>
        </w:trPr>
        <w:tc>
          <w:tcPr>
            <w:tcW w:w="3966" w:type="dxa"/>
            <w:tcBorders>
              <w:top w:val="nil"/>
              <w:bottom w:val="nil"/>
            </w:tcBorders>
            <w:shd w:val="clear" w:color="auto" w:fill="1C1F62"/>
          </w:tcPr>
          <w:p>
            <w:pPr>
              <w:pStyle w:val="TableParagraph"/>
              <w:spacing w:line="255" w:lineRule="exact"/>
              <w:rPr>
                <w:rFonts w:ascii="Arial"/>
                <w:b/>
                <w:sz w:val="24"/>
              </w:rPr>
            </w:pPr>
            <w:r>
              <w:rPr>
                <w:rFonts w:ascii="Arial"/>
                <w:b/>
                <w:color w:val="FFFFFF"/>
                <w:sz w:val="24"/>
              </w:rPr>
              <w:t>Date</w:t>
            </w:r>
            <w:r>
              <w:rPr>
                <w:rFonts w:ascii="Arial"/>
                <w:b/>
                <w:color w:val="FFFFFF"/>
                <w:spacing w:val="-9"/>
                <w:sz w:val="24"/>
              </w:rPr>
              <w:t> </w:t>
            </w:r>
            <w:r>
              <w:rPr>
                <w:rFonts w:ascii="Arial"/>
                <w:b/>
                <w:color w:val="FFFFFF"/>
                <w:spacing w:val="-2"/>
                <w:sz w:val="24"/>
              </w:rPr>
              <w:t>Approved:</w:t>
            </w:r>
          </w:p>
        </w:tc>
        <w:tc>
          <w:tcPr>
            <w:tcW w:w="5812" w:type="dxa"/>
          </w:tcPr>
          <w:p>
            <w:pPr>
              <w:pStyle w:val="TableParagraph"/>
              <w:spacing w:line="256" w:lineRule="exact"/>
              <w:ind w:left="107"/>
              <w:rPr>
                <w:sz w:val="24"/>
              </w:rPr>
            </w:pPr>
            <w:r>
              <w:rPr>
                <w:sz w:val="24"/>
              </w:rPr>
              <w:t>25</w:t>
            </w:r>
            <w:r>
              <w:rPr>
                <w:position w:val="8"/>
                <w:sz w:val="16"/>
              </w:rPr>
              <w:t>th</w:t>
            </w:r>
            <w:r>
              <w:rPr>
                <w:spacing w:val="17"/>
                <w:position w:val="8"/>
                <w:sz w:val="16"/>
              </w:rPr>
              <w:t> </w:t>
            </w:r>
            <w:r>
              <w:rPr>
                <w:sz w:val="24"/>
              </w:rPr>
              <w:t>November</w:t>
            </w:r>
            <w:r>
              <w:rPr>
                <w:spacing w:val="-8"/>
                <w:sz w:val="24"/>
              </w:rPr>
              <w:t> </w:t>
            </w:r>
            <w:r>
              <w:rPr>
                <w:spacing w:val="-4"/>
                <w:sz w:val="24"/>
              </w:rPr>
              <w:t>2024</w:t>
            </w:r>
          </w:p>
        </w:tc>
      </w:tr>
      <w:tr>
        <w:trPr>
          <w:trHeight w:val="275" w:hRule="atLeast"/>
        </w:trPr>
        <w:tc>
          <w:tcPr>
            <w:tcW w:w="3966" w:type="dxa"/>
            <w:tcBorders>
              <w:top w:val="nil"/>
              <w:bottom w:val="nil"/>
            </w:tcBorders>
            <w:shd w:val="clear" w:color="auto" w:fill="1C1F62"/>
          </w:tcPr>
          <w:p>
            <w:pPr>
              <w:pStyle w:val="TableParagraph"/>
              <w:spacing w:line="255" w:lineRule="exact"/>
              <w:rPr>
                <w:rFonts w:ascii="Arial"/>
                <w:b/>
                <w:sz w:val="24"/>
              </w:rPr>
            </w:pPr>
            <w:r>
              <w:rPr>
                <w:rFonts w:ascii="Arial"/>
                <w:b/>
                <w:color w:val="FFFFFF"/>
                <w:sz w:val="24"/>
              </w:rPr>
              <w:t>Approved</w:t>
            </w:r>
            <w:r>
              <w:rPr>
                <w:rFonts w:ascii="Arial"/>
                <w:b/>
                <w:color w:val="FFFFFF"/>
                <w:spacing w:val="-8"/>
                <w:sz w:val="24"/>
              </w:rPr>
              <w:t> </w:t>
            </w:r>
            <w:r>
              <w:rPr>
                <w:rFonts w:ascii="Arial"/>
                <w:b/>
                <w:color w:val="FFFFFF"/>
                <w:spacing w:val="-5"/>
                <w:sz w:val="24"/>
              </w:rPr>
              <w:t>by:</w:t>
            </w:r>
          </w:p>
        </w:tc>
        <w:tc>
          <w:tcPr>
            <w:tcW w:w="5812" w:type="dxa"/>
          </w:tcPr>
          <w:p>
            <w:pPr>
              <w:pStyle w:val="TableParagraph"/>
              <w:spacing w:line="255" w:lineRule="exact"/>
              <w:ind w:left="107"/>
              <w:rPr>
                <w:sz w:val="24"/>
              </w:rPr>
            </w:pPr>
            <w:r>
              <w:rPr>
                <w:sz w:val="24"/>
              </w:rPr>
              <w:t>Shane</w:t>
            </w:r>
            <w:r>
              <w:rPr>
                <w:spacing w:val="-5"/>
                <w:sz w:val="24"/>
              </w:rPr>
              <w:t> </w:t>
            </w:r>
            <w:r>
              <w:rPr>
                <w:sz w:val="24"/>
              </w:rPr>
              <w:t>Devlin,</w:t>
            </w:r>
            <w:r>
              <w:rPr>
                <w:spacing w:val="-6"/>
                <w:sz w:val="24"/>
              </w:rPr>
              <w:t> </w:t>
            </w:r>
            <w:r>
              <w:rPr>
                <w:sz w:val="24"/>
              </w:rPr>
              <w:t>Chief</w:t>
            </w:r>
            <w:r>
              <w:rPr>
                <w:spacing w:val="-7"/>
                <w:sz w:val="24"/>
              </w:rPr>
              <w:t> </w:t>
            </w:r>
            <w:r>
              <w:rPr>
                <w:spacing w:val="-2"/>
                <w:sz w:val="24"/>
              </w:rPr>
              <w:t>Executive</w:t>
            </w:r>
          </w:p>
        </w:tc>
      </w:tr>
      <w:tr>
        <w:trPr>
          <w:trHeight w:val="275" w:hRule="atLeast"/>
        </w:trPr>
        <w:tc>
          <w:tcPr>
            <w:tcW w:w="3966" w:type="dxa"/>
            <w:tcBorders>
              <w:top w:val="nil"/>
            </w:tcBorders>
            <w:shd w:val="clear" w:color="auto" w:fill="1C1F62"/>
          </w:tcPr>
          <w:p>
            <w:pPr>
              <w:pStyle w:val="TableParagraph"/>
              <w:spacing w:line="255" w:lineRule="exact"/>
              <w:rPr>
                <w:rFonts w:ascii="Arial"/>
                <w:b/>
                <w:sz w:val="24"/>
              </w:rPr>
            </w:pPr>
            <w:r>
              <w:rPr>
                <w:rFonts w:ascii="Arial"/>
                <w:b/>
                <w:color w:val="FFFFFF"/>
                <w:sz w:val="24"/>
              </w:rPr>
              <w:t>Date</w:t>
            </w:r>
            <w:r>
              <w:rPr>
                <w:rFonts w:ascii="Arial"/>
                <w:b/>
                <w:color w:val="FFFFFF"/>
                <w:spacing w:val="-7"/>
                <w:sz w:val="24"/>
              </w:rPr>
              <w:t> </w:t>
            </w:r>
            <w:r>
              <w:rPr>
                <w:rFonts w:ascii="Arial"/>
                <w:b/>
                <w:color w:val="FFFFFF"/>
                <w:sz w:val="24"/>
              </w:rPr>
              <w:t>of</w:t>
            </w:r>
            <w:r>
              <w:rPr>
                <w:rFonts w:ascii="Arial"/>
                <w:b/>
                <w:color w:val="FFFFFF"/>
                <w:spacing w:val="-6"/>
                <w:sz w:val="24"/>
              </w:rPr>
              <w:t> </w:t>
            </w:r>
            <w:r>
              <w:rPr>
                <w:rFonts w:ascii="Arial"/>
                <w:b/>
                <w:color w:val="FFFFFF"/>
                <w:sz w:val="24"/>
              </w:rPr>
              <w:t>next</w:t>
            </w:r>
            <w:r>
              <w:rPr>
                <w:rFonts w:ascii="Arial"/>
                <w:b/>
                <w:color w:val="FFFFFF"/>
                <w:spacing w:val="-6"/>
                <w:sz w:val="24"/>
              </w:rPr>
              <w:t> </w:t>
            </w:r>
            <w:r>
              <w:rPr>
                <w:rFonts w:ascii="Arial"/>
                <w:b/>
                <w:color w:val="FFFFFF"/>
                <w:spacing w:val="-2"/>
                <w:sz w:val="24"/>
              </w:rPr>
              <w:t>review:</w:t>
            </w:r>
          </w:p>
        </w:tc>
        <w:tc>
          <w:tcPr>
            <w:tcW w:w="5812" w:type="dxa"/>
          </w:tcPr>
          <w:p>
            <w:pPr>
              <w:pStyle w:val="TableParagraph"/>
              <w:spacing w:line="255" w:lineRule="exact"/>
              <w:ind w:left="107"/>
              <w:rPr>
                <w:sz w:val="24"/>
              </w:rPr>
            </w:pPr>
            <w:r>
              <w:rPr>
                <w:sz w:val="24"/>
              </w:rPr>
              <w:t>November</w:t>
            </w:r>
            <w:r>
              <w:rPr>
                <w:spacing w:val="-14"/>
                <w:sz w:val="24"/>
              </w:rPr>
              <w:t> </w:t>
            </w:r>
            <w:r>
              <w:rPr>
                <w:spacing w:val="-4"/>
                <w:sz w:val="24"/>
              </w:rPr>
              <w:t>2026</w:t>
            </w:r>
          </w:p>
        </w:tc>
      </w:tr>
    </w:tbl>
    <w:p>
      <w:pPr>
        <w:pStyle w:val="Heading2"/>
        <w:spacing w:before="245" w:after="32"/>
        <w:ind w:left="520" w:firstLine="0"/>
      </w:pPr>
      <w:bookmarkStart w:name="_bookmark1" w:id="2"/>
      <w:bookmarkEnd w:id="2"/>
      <w:r>
        <w:rPr/>
      </w:r>
      <w:r>
        <w:rPr>
          <w:color w:val="1C1F62"/>
        </w:rPr>
        <w:t>Policy</w:t>
      </w:r>
      <w:r>
        <w:rPr>
          <w:color w:val="1C1F62"/>
          <w:spacing w:val="-3"/>
        </w:rPr>
        <w:t> </w:t>
      </w:r>
      <w:r>
        <w:rPr>
          <w:color w:val="1C1F62"/>
        </w:rPr>
        <w:t>Review</w:t>
      </w:r>
      <w:r>
        <w:rPr>
          <w:color w:val="1C1F62"/>
          <w:spacing w:val="-7"/>
        </w:rPr>
        <w:t> </w:t>
      </w:r>
      <w:r>
        <w:rPr>
          <w:color w:val="1C1F62"/>
          <w:spacing w:val="-2"/>
        </w:rPr>
        <w:t>Checklist</w:t>
      </w: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8"/>
        <w:gridCol w:w="1443"/>
        <w:gridCol w:w="4237"/>
      </w:tblGrid>
      <w:tr>
        <w:trPr>
          <w:trHeight w:val="275" w:hRule="atLeast"/>
        </w:trPr>
        <w:tc>
          <w:tcPr>
            <w:tcW w:w="4098" w:type="dxa"/>
            <w:shd w:val="clear" w:color="auto" w:fill="1C1F62"/>
          </w:tcPr>
          <w:p>
            <w:pPr>
              <w:pStyle w:val="TableParagraph"/>
              <w:ind w:left="0"/>
              <w:rPr>
                <w:rFonts w:ascii="Times New Roman"/>
                <w:sz w:val="20"/>
              </w:rPr>
            </w:pPr>
          </w:p>
        </w:tc>
        <w:tc>
          <w:tcPr>
            <w:tcW w:w="1443" w:type="dxa"/>
            <w:shd w:val="clear" w:color="auto" w:fill="1C1F62"/>
          </w:tcPr>
          <w:p>
            <w:pPr>
              <w:pStyle w:val="TableParagraph"/>
              <w:spacing w:line="255" w:lineRule="exact"/>
              <w:ind w:left="10"/>
              <w:jc w:val="center"/>
              <w:rPr>
                <w:rFonts w:ascii="Arial"/>
                <w:b/>
                <w:sz w:val="24"/>
              </w:rPr>
            </w:pPr>
            <w:r>
              <w:rPr>
                <w:rFonts w:ascii="Arial"/>
                <w:b/>
                <w:color w:val="FFFFFF"/>
                <w:spacing w:val="-2"/>
                <w:sz w:val="24"/>
              </w:rPr>
              <w:t>Yes/No/NA</w:t>
            </w:r>
          </w:p>
        </w:tc>
        <w:tc>
          <w:tcPr>
            <w:tcW w:w="4237" w:type="dxa"/>
            <w:shd w:val="clear" w:color="auto" w:fill="1C1F62"/>
          </w:tcPr>
          <w:p>
            <w:pPr>
              <w:pStyle w:val="TableParagraph"/>
              <w:spacing w:line="255" w:lineRule="exact"/>
              <w:ind w:left="107"/>
              <w:rPr>
                <w:rFonts w:ascii="Arial"/>
                <w:b/>
                <w:sz w:val="24"/>
              </w:rPr>
            </w:pPr>
            <w:r>
              <w:rPr>
                <w:rFonts w:ascii="Arial"/>
                <w:b/>
                <w:color w:val="FFFFFF"/>
                <w:sz w:val="24"/>
              </w:rPr>
              <w:t>Supporting</w:t>
            </w:r>
            <w:r>
              <w:rPr>
                <w:rFonts w:ascii="Arial"/>
                <w:b/>
                <w:color w:val="FFFFFF"/>
                <w:spacing w:val="-3"/>
                <w:sz w:val="24"/>
              </w:rPr>
              <w:t> </w:t>
            </w:r>
            <w:r>
              <w:rPr>
                <w:rFonts w:ascii="Arial"/>
                <w:b/>
                <w:color w:val="FFFFFF"/>
                <w:spacing w:val="-2"/>
                <w:sz w:val="24"/>
              </w:rPr>
              <w:t>information</w:t>
            </w:r>
          </w:p>
        </w:tc>
      </w:tr>
      <w:tr>
        <w:trPr>
          <w:trHeight w:val="551" w:hRule="atLeast"/>
        </w:trPr>
        <w:tc>
          <w:tcPr>
            <w:tcW w:w="4098" w:type="dxa"/>
          </w:tcPr>
          <w:p>
            <w:pPr>
              <w:pStyle w:val="TableParagraph"/>
              <w:spacing w:line="270" w:lineRule="atLeast"/>
              <w:ind w:right="93"/>
              <w:rPr>
                <w:sz w:val="24"/>
              </w:rPr>
            </w:pPr>
            <w:r>
              <w:rPr>
                <w:sz w:val="24"/>
              </w:rPr>
              <w:t>Has</w:t>
            </w:r>
            <w:r>
              <w:rPr>
                <w:spacing w:val="-10"/>
                <w:sz w:val="24"/>
              </w:rPr>
              <w:t> </w:t>
            </w:r>
            <w:r>
              <w:rPr>
                <w:sz w:val="24"/>
              </w:rPr>
              <w:t>an</w:t>
            </w:r>
            <w:r>
              <w:rPr>
                <w:spacing w:val="-12"/>
                <w:sz w:val="24"/>
              </w:rPr>
              <w:t> </w:t>
            </w:r>
            <w:r>
              <w:rPr>
                <w:sz w:val="24"/>
              </w:rPr>
              <w:t>Equality</w:t>
            </w:r>
            <w:r>
              <w:rPr>
                <w:spacing w:val="-9"/>
                <w:sz w:val="24"/>
              </w:rPr>
              <w:t> </w:t>
            </w:r>
            <w:r>
              <w:rPr>
                <w:sz w:val="24"/>
              </w:rPr>
              <w:t>Impact</w:t>
            </w:r>
            <w:r>
              <w:rPr>
                <w:spacing w:val="-9"/>
                <w:sz w:val="24"/>
              </w:rPr>
              <w:t> </w:t>
            </w:r>
            <w:r>
              <w:rPr>
                <w:sz w:val="24"/>
              </w:rPr>
              <w:t>Assessment Screening been completed?</w:t>
            </w:r>
          </w:p>
        </w:tc>
        <w:tc>
          <w:tcPr>
            <w:tcW w:w="1443" w:type="dxa"/>
          </w:tcPr>
          <w:p>
            <w:pPr>
              <w:pStyle w:val="TableParagraph"/>
              <w:ind w:left="10" w:right="2"/>
              <w:jc w:val="center"/>
              <w:rPr>
                <w:sz w:val="24"/>
              </w:rPr>
            </w:pPr>
            <w:r>
              <w:rPr>
                <w:spacing w:val="-5"/>
                <w:sz w:val="24"/>
              </w:rPr>
              <w:t>Yes</w:t>
            </w:r>
          </w:p>
        </w:tc>
        <w:tc>
          <w:tcPr>
            <w:tcW w:w="4237" w:type="dxa"/>
          </w:tcPr>
          <w:p>
            <w:pPr>
              <w:pStyle w:val="TableParagraph"/>
              <w:ind w:left="0" w:right="1401"/>
              <w:jc w:val="right"/>
              <w:rPr>
                <w:sz w:val="24"/>
              </w:rPr>
            </w:pPr>
            <w:r>
              <w:rPr>
                <w:sz w:val="24"/>
              </w:rPr>
              <w:t>See</w:t>
            </w:r>
            <w:r>
              <w:rPr>
                <w:spacing w:val="-2"/>
                <w:sz w:val="24"/>
              </w:rPr>
              <w:t> attached</w:t>
            </w:r>
          </w:p>
        </w:tc>
      </w:tr>
      <w:tr>
        <w:trPr>
          <w:trHeight w:val="551" w:hRule="atLeast"/>
        </w:trPr>
        <w:tc>
          <w:tcPr>
            <w:tcW w:w="4098" w:type="dxa"/>
          </w:tcPr>
          <w:p>
            <w:pPr>
              <w:pStyle w:val="TableParagraph"/>
              <w:spacing w:line="270" w:lineRule="atLeast"/>
              <w:ind w:right="93"/>
              <w:rPr>
                <w:sz w:val="24"/>
              </w:rPr>
            </w:pPr>
            <w:r>
              <w:rPr>
                <w:sz w:val="24"/>
              </w:rPr>
              <w:t>Has</w:t>
            </w:r>
            <w:r>
              <w:rPr>
                <w:spacing w:val="-7"/>
                <w:sz w:val="24"/>
              </w:rPr>
              <w:t> </w:t>
            </w:r>
            <w:r>
              <w:rPr>
                <w:sz w:val="24"/>
              </w:rPr>
              <w:t>the</w:t>
            </w:r>
            <w:r>
              <w:rPr>
                <w:spacing w:val="-9"/>
                <w:sz w:val="24"/>
              </w:rPr>
              <w:t> </w:t>
            </w:r>
            <w:r>
              <w:rPr>
                <w:sz w:val="24"/>
              </w:rPr>
              <w:t>review</w:t>
            </w:r>
            <w:r>
              <w:rPr>
                <w:spacing w:val="-7"/>
                <w:sz w:val="24"/>
              </w:rPr>
              <w:t> </w:t>
            </w:r>
            <w:r>
              <w:rPr>
                <w:sz w:val="24"/>
              </w:rPr>
              <w:t>taken</w:t>
            </w:r>
            <w:r>
              <w:rPr>
                <w:spacing w:val="-9"/>
                <w:sz w:val="24"/>
              </w:rPr>
              <w:t> </w:t>
            </w:r>
            <w:r>
              <w:rPr>
                <w:sz w:val="24"/>
              </w:rPr>
              <w:t>account</w:t>
            </w:r>
            <w:r>
              <w:rPr>
                <w:spacing w:val="-9"/>
                <w:sz w:val="24"/>
              </w:rPr>
              <w:t> </w:t>
            </w:r>
            <w:r>
              <w:rPr>
                <w:sz w:val="24"/>
              </w:rPr>
              <w:t>of latest Guidance/Legislation?</w:t>
            </w:r>
          </w:p>
        </w:tc>
        <w:tc>
          <w:tcPr>
            <w:tcW w:w="1443" w:type="dxa"/>
          </w:tcPr>
          <w:p>
            <w:pPr>
              <w:pStyle w:val="TableParagraph"/>
              <w:ind w:left="10" w:right="2"/>
              <w:jc w:val="center"/>
              <w:rPr>
                <w:sz w:val="24"/>
              </w:rPr>
            </w:pPr>
            <w:r>
              <w:rPr>
                <w:spacing w:val="-5"/>
                <w:sz w:val="24"/>
              </w:rPr>
              <w:t>Yes</w:t>
            </w:r>
          </w:p>
        </w:tc>
        <w:tc>
          <w:tcPr>
            <w:tcW w:w="4237" w:type="dxa"/>
          </w:tcPr>
          <w:p>
            <w:pPr>
              <w:pStyle w:val="TableParagraph"/>
              <w:ind w:left="0"/>
              <w:rPr>
                <w:rFonts w:ascii="Times New Roman"/>
                <w:sz w:val="22"/>
              </w:rPr>
            </w:pPr>
          </w:p>
        </w:tc>
      </w:tr>
      <w:tr>
        <w:trPr>
          <w:trHeight w:val="552" w:hRule="atLeast"/>
        </w:trPr>
        <w:tc>
          <w:tcPr>
            <w:tcW w:w="4098" w:type="dxa"/>
          </w:tcPr>
          <w:p>
            <w:pPr>
              <w:pStyle w:val="TableParagraph"/>
              <w:spacing w:before="2"/>
              <w:rPr>
                <w:sz w:val="24"/>
              </w:rPr>
            </w:pPr>
            <w:r>
              <w:rPr>
                <w:sz w:val="24"/>
              </w:rPr>
              <w:t>Has</w:t>
            </w:r>
            <w:r>
              <w:rPr>
                <w:spacing w:val="-8"/>
                <w:sz w:val="24"/>
              </w:rPr>
              <w:t> </w:t>
            </w:r>
            <w:r>
              <w:rPr>
                <w:sz w:val="24"/>
              </w:rPr>
              <w:t>legal</w:t>
            </w:r>
            <w:r>
              <w:rPr>
                <w:spacing w:val="-11"/>
                <w:sz w:val="24"/>
              </w:rPr>
              <w:t> </w:t>
            </w:r>
            <w:r>
              <w:rPr>
                <w:sz w:val="24"/>
              </w:rPr>
              <w:t>advice</w:t>
            </w:r>
            <w:r>
              <w:rPr>
                <w:spacing w:val="-9"/>
                <w:sz w:val="24"/>
              </w:rPr>
              <w:t> </w:t>
            </w:r>
            <w:r>
              <w:rPr>
                <w:sz w:val="24"/>
              </w:rPr>
              <w:t>been</w:t>
            </w:r>
            <w:r>
              <w:rPr>
                <w:spacing w:val="-10"/>
                <w:sz w:val="24"/>
              </w:rPr>
              <w:t> </w:t>
            </w:r>
            <w:r>
              <w:rPr>
                <w:spacing w:val="-2"/>
                <w:sz w:val="24"/>
              </w:rPr>
              <w:t>sought?</w:t>
            </w:r>
          </w:p>
        </w:tc>
        <w:tc>
          <w:tcPr>
            <w:tcW w:w="1443" w:type="dxa"/>
          </w:tcPr>
          <w:p>
            <w:pPr>
              <w:pStyle w:val="TableParagraph"/>
              <w:spacing w:before="2"/>
              <w:ind w:left="10" w:right="6"/>
              <w:jc w:val="center"/>
              <w:rPr>
                <w:sz w:val="24"/>
              </w:rPr>
            </w:pPr>
            <w:r>
              <w:rPr>
                <w:spacing w:val="-5"/>
                <w:sz w:val="24"/>
              </w:rPr>
              <w:t>No</w:t>
            </w:r>
          </w:p>
        </w:tc>
        <w:tc>
          <w:tcPr>
            <w:tcW w:w="4237" w:type="dxa"/>
          </w:tcPr>
          <w:p>
            <w:pPr>
              <w:pStyle w:val="TableParagraph"/>
              <w:spacing w:line="270" w:lineRule="atLeast"/>
              <w:ind w:left="1362" w:hanging="1028"/>
              <w:rPr>
                <w:sz w:val="24"/>
              </w:rPr>
            </w:pPr>
            <w:r>
              <w:rPr>
                <w:sz w:val="24"/>
              </w:rPr>
              <w:t>Policy</w:t>
            </w:r>
            <w:r>
              <w:rPr>
                <w:spacing w:val="-9"/>
                <w:sz w:val="24"/>
              </w:rPr>
              <w:t> </w:t>
            </w:r>
            <w:r>
              <w:rPr>
                <w:sz w:val="24"/>
              </w:rPr>
              <w:t>template</w:t>
            </w:r>
            <w:r>
              <w:rPr>
                <w:spacing w:val="-9"/>
                <w:sz w:val="24"/>
              </w:rPr>
              <w:t> </w:t>
            </w:r>
            <w:r>
              <w:rPr>
                <w:sz w:val="24"/>
              </w:rPr>
              <w:t>provided</w:t>
            </w:r>
            <w:r>
              <w:rPr>
                <w:spacing w:val="-9"/>
                <w:sz w:val="24"/>
              </w:rPr>
              <w:t> </w:t>
            </w:r>
            <w:r>
              <w:rPr>
                <w:sz w:val="24"/>
              </w:rPr>
              <w:t>by</w:t>
            </w:r>
            <w:r>
              <w:rPr>
                <w:spacing w:val="-12"/>
                <w:sz w:val="24"/>
              </w:rPr>
              <w:t> </w:t>
            </w:r>
            <w:r>
              <w:rPr>
                <w:sz w:val="24"/>
              </w:rPr>
              <w:t>SCW CSU IG Team</w:t>
            </w:r>
          </w:p>
        </w:tc>
      </w:tr>
      <w:tr>
        <w:trPr>
          <w:trHeight w:val="275" w:hRule="atLeast"/>
        </w:trPr>
        <w:tc>
          <w:tcPr>
            <w:tcW w:w="4098" w:type="dxa"/>
          </w:tcPr>
          <w:p>
            <w:pPr>
              <w:pStyle w:val="TableParagraph"/>
              <w:spacing w:line="255" w:lineRule="exact"/>
              <w:rPr>
                <w:sz w:val="24"/>
              </w:rPr>
            </w:pPr>
            <w:r>
              <w:rPr>
                <w:sz w:val="24"/>
              </w:rPr>
              <w:t>Has</w:t>
            </w:r>
            <w:r>
              <w:rPr>
                <w:spacing w:val="-3"/>
                <w:sz w:val="24"/>
              </w:rPr>
              <w:t> </w:t>
            </w:r>
            <w:r>
              <w:rPr>
                <w:sz w:val="24"/>
              </w:rPr>
              <w:t>HR</w:t>
            </w:r>
            <w:r>
              <w:rPr>
                <w:spacing w:val="-4"/>
                <w:sz w:val="24"/>
              </w:rPr>
              <w:t> </w:t>
            </w:r>
            <w:r>
              <w:rPr>
                <w:sz w:val="24"/>
              </w:rPr>
              <w:t>been</w:t>
            </w:r>
            <w:r>
              <w:rPr>
                <w:spacing w:val="-3"/>
                <w:sz w:val="24"/>
              </w:rPr>
              <w:t> </w:t>
            </w:r>
            <w:r>
              <w:rPr>
                <w:spacing w:val="-2"/>
                <w:sz w:val="24"/>
              </w:rPr>
              <w:t>consulted?</w:t>
            </w:r>
          </w:p>
        </w:tc>
        <w:tc>
          <w:tcPr>
            <w:tcW w:w="1443" w:type="dxa"/>
          </w:tcPr>
          <w:p>
            <w:pPr>
              <w:pStyle w:val="TableParagraph"/>
              <w:spacing w:line="255" w:lineRule="exact"/>
              <w:ind w:left="10" w:right="2"/>
              <w:jc w:val="center"/>
              <w:rPr>
                <w:sz w:val="24"/>
              </w:rPr>
            </w:pPr>
            <w:r>
              <w:rPr>
                <w:spacing w:val="-5"/>
                <w:sz w:val="24"/>
              </w:rPr>
              <w:t>Yes</w:t>
            </w:r>
          </w:p>
        </w:tc>
        <w:tc>
          <w:tcPr>
            <w:tcW w:w="4237" w:type="dxa"/>
          </w:tcPr>
          <w:p>
            <w:pPr>
              <w:pStyle w:val="TableParagraph"/>
              <w:spacing w:line="255" w:lineRule="exact"/>
              <w:ind w:left="11" w:right="2"/>
              <w:jc w:val="center"/>
              <w:rPr>
                <w:sz w:val="24"/>
              </w:rPr>
            </w:pPr>
            <w:r>
              <w:rPr>
                <w:sz w:val="24"/>
              </w:rPr>
              <w:t>Via</w:t>
            </w:r>
            <w:r>
              <w:rPr>
                <w:spacing w:val="-1"/>
                <w:sz w:val="24"/>
              </w:rPr>
              <w:t> </w:t>
            </w:r>
            <w:r>
              <w:rPr>
                <w:spacing w:val="-4"/>
                <w:sz w:val="24"/>
              </w:rPr>
              <w:t>CPRG</w:t>
            </w:r>
          </w:p>
        </w:tc>
      </w:tr>
      <w:tr>
        <w:trPr>
          <w:trHeight w:val="551" w:hRule="atLeast"/>
        </w:trPr>
        <w:tc>
          <w:tcPr>
            <w:tcW w:w="4098" w:type="dxa"/>
          </w:tcPr>
          <w:p>
            <w:pPr>
              <w:pStyle w:val="TableParagraph"/>
              <w:spacing w:line="270" w:lineRule="atLeast"/>
              <w:ind w:right="93"/>
              <w:rPr>
                <w:sz w:val="24"/>
              </w:rPr>
            </w:pPr>
            <w:r>
              <w:rPr>
                <w:sz w:val="24"/>
              </w:rPr>
              <w:t>Have</w:t>
            </w:r>
            <w:r>
              <w:rPr>
                <w:spacing w:val="-11"/>
                <w:sz w:val="24"/>
              </w:rPr>
              <w:t> </w:t>
            </w:r>
            <w:r>
              <w:rPr>
                <w:sz w:val="24"/>
              </w:rPr>
              <w:t>training</w:t>
            </w:r>
            <w:r>
              <w:rPr>
                <w:spacing w:val="-12"/>
                <w:sz w:val="24"/>
              </w:rPr>
              <w:t> </w:t>
            </w:r>
            <w:r>
              <w:rPr>
                <w:sz w:val="24"/>
              </w:rPr>
              <w:t>issues</w:t>
            </w:r>
            <w:r>
              <w:rPr>
                <w:spacing w:val="-15"/>
                <w:sz w:val="24"/>
              </w:rPr>
              <w:t> </w:t>
            </w:r>
            <w:r>
              <w:rPr>
                <w:sz w:val="24"/>
              </w:rPr>
              <w:t>been </w:t>
            </w:r>
            <w:r>
              <w:rPr>
                <w:spacing w:val="-2"/>
                <w:sz w:val="24"/>
              </w:rPr>
              <w:t>addressed?</w:t>
            </w:r>
          </w:p>
        </w:tc>
        <w:tc>
          <w:tcPr>
            <w:tcW w:w="1443" w:type="dxa"/>
          </w:tcPr>
          <w:p>
            <w:pPr>
              <w:pStyle w:val="TableParagraph"/>
              <w:ind w:left="10" w:right="6"/>
              <w:jc w:val="center"/>
              <w:rPr>
                <w:sz w:val="24"/>
              </w:rPr>
            </w:pPr>
            <w:r>
              <w:rPr>
                <w:spacing w:val="-5"/>
                <w:sz w:val="24"/>
              </w:rPr>
              <w:t>No</w:t>
            </w:r>
          </w:p>
        </w:tc>
        <w:tc>
          <w:tcPr>
            <w:tcW w:w="4237" w:type="dxa"/>
          </w:tcPr>
          <w:p>
            <w:pPr>
              <w:pStyle w:val="TableParagraph"/>
              <w:ind w:left="0"/>
              <w:rPr>
                <w:rFonts w:ascii="Times New Roman"/>
                <w:sz w:val="22"/>
              </w:rPr>
            </w:pPr>
          </w:p>
        </w:tc>
      </w:tr>
      <w:tr>
        <w:trPr>
          <w:trHeight w:val="552" w:hRule="atLeast"/>
        </w:trPr>
        <w:tc>
          <w:tcPr>
            <w:tcW w:w="4098" w:type="dxa"/>
          </w:tcPr>
          <w:p>
            <w:pPr>
              <w:pStyle w:val="TableParagraph"/>
              <w:spacing w:line="276" w:lineRule="exact"/>
              <w:ind w:right="93"/>
              <w:rPr>
                <w:sz w:val="24"/>
              </w:rPr>
            </w:pPr>
            <w:r>
              <w:rPr>
                <w:sz w:val="24"/>
              </w:rPr>
              <w:t>Are</w:t>
            </w:r>
            <w:r>
              <w:rPr>
                <w:spacing w:val="-8"/>
                <w:sz w:val="24"/>
              </w:rPr>
              <w:t> </w:t>
            </w:r>
            <w:r>
              <w:rPr>
                <w:sz w:val="24"/>
              </w:rPr>
              <w:t>there</w:t>
            </w:r>
            <w:r>
              <w:rPr>
                <w:spacing w:val="-8"/>
                <w:sz w:val="24"/>
              </w:rPr>
              <w:t> </w:t>
            </w:r>
            <w:r>
              <w:rPr>
                <w:sz w:val="24"/>
              </w:rPr>
              <w:t>other</w:t>
            </w:r>
            <w:r>
              <w:rPr>
                <w:spacing w:val="-8"/>
                <w:sz w:val="24"/>
              </w:rPr>
              <w:t> </w:t>
            </w:r>
            <w:r>
              <w:rPr>
                <w:sz w:val="24"/>
              </w:rPr>
              <w:t>HR</w:t>
            </w:r>
            <w:r>
              <w:rPr>
                <w:spacing w:val="-8"/>
                <w:sz w:val="24"/>
              </w:rPr>
              <w:t> </w:t>
            </w:r>
            <w:r>
              <w:rPr>
                <w:sz w:val="24"/>
              </w:rPr>
              <w:t>related</w:t>
            </w:r>
            <w:r>
              <w:rPr>
                <w:spacing w:val="-9"/>
                <w:sz w:val="24"/>
              </w:rPr>
              <w:t> </w:t>
            </w:r>
            <w:r>
              <w:rPr>
                <w:sz w:val="24"/>
              </w:rPr>
              <w:t>issues that need to be considered?</w:t>
            </w:r>
          </w:p>
        </w:tc>
        <w:tc>
          <w:tcPr>
            <w:tcW w:w="1443" w:type="dxa"/>
          </w:tcPr>
          <w:p>
            <w:pPr>
              <w:pStyle w:val="TableParagraph"/>
              <w:ind w:left="10" w:right="6"/>
              <w:jc w:val="center"/>
              <w:rPr>
                <w:sz w:val="24"/>
              </w:rPr>
            </w:pPr>
            <w:r>
              <w:rPr>
                <w:spacing w:val="-5"/>
                <w:sz w:val="24"/>
              </w:rPr>
              <w:t>No</w:t>
            </w:r>
          </w:p>
        </w:tc>
        <w:tc>
          <w:tcPr>
            <w:tcW w:w="4237" w:type="dxa"/>
          </w:tcPr>
          <w:p>
            <w:pPr>
              <w:pStyle w:val="TableParagraph"/>
              <w:ind w:left="0"/>
              <w:rPr>
                <w:rFonts w:ascii="Times New Roman"/>
                <w:sz w:val="22"/>
              </w:rPr>
            </w:pPr>
          </w:p>
        </w:tc>
      </w:tr>
      <w:tr>
        <w:trPr>
          <w:trHeight w:val="551" w:hRule="atLeast"/>
        </w:trPr>
        <w:tc>
          <w:tcPr>
            <w:tcW w:w="4098" w:type="dxa"/>
          </w:tcPr>
          <w:p>
            <w:pPr>
              <w:pStyle w:val="TableParagraph"/>
              <w:spacing w:line="270" w:lineRule="atLeast"/>
              <w:ind w:right="93"/>
              <w:rPr>
                <w:sz w:val="24"/>
              </w:rPr>
            </w:pPr>
            <w:r>
              <w:rPr>
                <w:sz w:val="24"/>
              </w:rPr>
              <w:t>Has</w:t>
            </w:r>
            <w:r>
              <w:rPr>
                <w:spacing w:val="-7"/>
                <w:sz w:val="24"/>
              </w:rPr>
              <w:t> </w:t>
            </w:r>
            <w:r>
              <w:rPr>
                <w:sz w:val="24"/>
              </w:rPr>
              <w:t>the</w:t>
            </w:r>
            <w:r>
              <w:rPr>
                <w:spacing w:val="-9"/>
                <w:sz w:val="24"/>
              </w:rPr>
              <w:t> </w:t>
            </w:r>
            <w:r>
              <w:rPr>
                <w:sz w:val="24"/>
              </w:rPr>
              <w:t>policy</w:t>
            </w:r>
            <w:r>
              <w:rPr>
                <w:spacing w:val="-7"/>
                <w:sz w:val="24"/>
              </w:rPr>
              <w:t> </w:t>
            </w:r>
            <w:r>
              <w:rPr>
                <w:sz w:val="24"/>
              </w:rPr>
              <w:t>been</w:t>
            </w:r>
            <w:r>
              <w:rPr>
                <w:spacing w:val="-7"/>
                <w:sz w:val="24"/>
              </w:rPr>
              <w:t> </w:t>
            </w:r>
            <w:r>
              <w:rPr>
                <w:sz w:val="24"/>
              </w:rPr>
              <w:t>reviewed</w:t>
            </w:r>
            <w:r>
              <w:rPr>
                <w:spacing w:val="-7"/>
                <w:sz w:val="24"/>
              </w:rPr>
              <w:t> </w:t>
            </w:r>
            <w:r>
              <w:rPr>
                <w:sz w:val="24"/>
              </w:rPr>
              <w:t>by Staff Partnership Forum?</w:t>
            </w:r>
          </w:p>
        </w:tc>
        <w:tc>
          <w:tcPr>
            <w:tcW w:w="1443" w:type="dxa"/>
          </w:tcPr>
          <w:p>
            <w:pPr>
              <w:pStyle w:val="TableParagraph"/>
              <w:ind w:left="10" w:right="6"/>
              <w:jc w:val="center"/>
              <w:rPr>
                <w:sz w:val="24"/>
              </w:rPr>
            </w:pPr>
            <w:r>
              <w:rPr>
                <w:spacing w:val="-5"/>
                <w:sz w:val="24"/>
              </w:rPr>
              <w:t>No</w:t>
            </w:r>
          </w:p>
        </w:tc>
        <w:tc>
          <w:tcPr>
            <w:tcW w:w="4237" w:type="dxa"/>
          </w:tcPr>
          <w:p>
            <w:pPr>
              <w:pStyle w:val="TableParagraph"/>
              <w:ind w:left="0"/>
              <w:rPr>
                <w:rFonts w:ascii="Times New Roman"/>
                <w:sz w:val="22"/>
              </w:rPr>
            </w:pPr>
          </w:p>
        </w:tc>
      </w:tr>
      <w:tr>
        <w:trPr>
          <w:trHeight w:val="550" w:hRule="atLeast"/>
        </w:trPr>
        <w:tc>
          <w:tcPr>
            <w:tcW w:w="4098" w:type="dxa"/>
          </w:tcPr>
          <w:p>
            <w:pPr>
              <w:pStyle w:val="TableParagraph"/>
              <w:spacing w:line="276" w:lineRule="exact"/>
              <w:ind w:right="93"/>
              <w:rPr>
                <w:sz w:val="24"/>
              </w:rPr>
            </w:pPr>
            <w:r>
              <w:rPr>
                <w:sz w:val="24"/>
              </w:rPr>
              <w:t>Are</w:t>
            </w:r>
            <w:r>
              <w:rPr>
                <w:spacing w:val="-8"/>
                <w:sz w:val="24"/>
              </w:rPr>
              <w:t> </w:t>
            </w:r>
            <w:r>
              <w:rPr>
                <w:sz w:val="24"/>
              </w:rPr>
              <w:t>there</w:t>
            </w:r>
            <w:r>
              <w:rPr>
                <w:spacing w:val="-8"/>
                <w:sz w:val="24"/>
              </w:rPr>
              <w:t> </w:t>
            </w:r>
            <w:r>
              <w:rPr>
                <w:sz w:val="24"/>
              </w:rPr>
              <w:t>financial</w:t>
            </w:r>
            <w:r>
              <w:rPr>
                <w:spacing w:val="-8"/>
                <w:sz w:val="24"/>
              </w:rPr>
              <w:t> </w:t>
            </w:r>
            <w:r>
              <w:rPr>
                <w:sz w:val="24"/>
              </w:rPr>
              <w:t>issues</w:t>
            </w:r>
            <w:r>
              <w:rPr>
                <w:spacing w:val="-8"/>
                <w:sz w:val="24"/>
              </w:rPr>
              <w:t> </w:t>
            </w:r>
            <w:r>
              <w:rPr>
                <w:sz w:val="24"/>
              </w:rPr>
              <w:t>and</w:t>
            </w:r>
            <w:r>
              <w:rPr>
                <w:spacing w:val="-8"/>
                <w:sz w:val="24"/>
              </w:rPr>
              <w:t> </w:t>
            </w:r>
            <w:r>
              <w:rPr>
                <w:sz w:val="24"/>
              </w:rPr>
              <w:t>have they been addressed?</w:t>
            </w:r>
          </w:p>
        </w:tc>
        <w:tc>
          <w:tcPr>
            <w:tcW w:w="1443" w:type="dxa"/>
          </w:tcPr>
          <w:p>
            <w:pPr>
              <w:pStyle w:val="TableParagraph"/>
              <w:spacing w:line="276" w:lineRule="exact"/>
              <w:ind w:left="10" w:right="6"/>
              <w:jc w:val="center"/>
              <w:rPr>
                <w:sz w:val="24"/>
              </w:rPr>
            </w:pPr>
            <w:r>
              <w:rPr>
                <w:spacing w:val="-5"/>
                <w:sz w:val="24"/>
              </w:rPr>
              <w:t>No</w:t>
            </w:r>
          </w:p>
        </w:tc>
        <w:tc>
          <w:tcPr>
            <w:tcW w:w="4237" w:type="dxa"/>
          </w:tcPr>
          <w:p>
            <w:pPr>
              <w:pStyle w:val="TableParagraph"/>
              <w:ind w:left="0"/>
              <w:rPr>
                <w:rFonts w:ascii="Times New Roman"/>
                <w:sz w:val="22"/>
              </w:rPr>
            </w:pPr>
          </w:p>
        </w:tc>
      </w:tr>
      <w:tr>
        <w:trPr>
          <w:trHeight w:val="826" w:hRule="atLeast"/>
        </w:trPr>
        <w:tc>
          <w:tcPr>
            <w:tcW w:w="4098" w:type="dxa"/>
          </w:tcPr>
          <w:p>
            <w:pPr>
              <w:pStyle w:val="TableParagraph"/>
              <w:spacing w:line="276" w:lineRule="exact"/>
              <w:ind w:right="93"/>
              <w:rPr>
                <w:sz w:val="24"/>
              </w:rPr>
            </w:pPr>
            <w:r>
              <w:rPr>
                <w:sz w:val="24"/>
              </w:rPr>
              <w:t>What engagement has there been with</w:t>
            </w:r>
            <w:r>
              <w:rPr>
                <w:spacing w:val="-9"/>
                <w:sz w:val="24"/>
              </w:rPr>
              <w:t> </w:t>
            </w:r>
            <w:r>
              <w:rPr>
                <w:sz w:val="24"/>
              </w:rPr>
              <w:t>patients/members</w:t>
            </w:r>
            <w:r>
              <w:rPr>
                <w:spacing w:val="-13"/>
                <w:sz w:val="24"/>
              </w:rPr>
              <w:t> </w:t>
            </w:r>
            <w:r>
              <w:rPr>
                <w:sz w:val="24"/>
              </w:rPr>
              <w:t>of</w:t>
            </w:r>
            <w:r>
              <w:rPr>
                <w:spacing w:val="-9"/>
                <w:sz w:val="24"/>
              </w:rPr>
              <w:t> </w:t>
            </w:r>
            <w:r>
              <w:rPr>
                <w:sz w:val="24"/>
              </w:rPr>
              <w:t>the</w:t>
            </w:r>
            <w:r>
              <w:rPr>
                <w:spacing w:val="-11"/>
                <w:sz w:val="24"/>
              </w:rPr>
              <w:t> </w:t>
            </w:r>
            <w:r>
              <w:rPr>
                <w:sz w:val="24"/>
              </w:rPr>
              <w:t>public in preparing this policy?</w:t>
            </w:r>
          </w:p>
        </w:tc>
        <w:tc>
          <w:tcPr>
            <w:tcW w:w="1443" w:type="dxa"/>
          </w:tcPr>
          <w:p>
            <w:pPr>
              <w:pStyle w:val="TableParagraph"/>
              <w:spacing w:line="275" w:lineRule="exact"/>
              <w:ind w:left="10" w:right="3"/>
              <w:jc w:val="center"/>
              <w:rPr>
                <w:sz w:val="24"/>
              </w:rPr>
            </w:pPr>
            <w:r>
              <w:rPr>
                <w:spacing w:val="-5"/>
                <w:sz w:val="24"/>
              </w:rPr>
              <w:t>N/A</w:t>
            </w:r>
          </w:p>
        </w:tc>
        <w:tc>
          <w:tcPr>
            <w:tcW w:w="4237" w:type="dxa"/>
          </w:tcPr>
          <w:p>
            <w:pPr>
              <w:pStyle w:val="TableParagraph"/>
              <w:ind w:left="0"/>
              <w:rPr>
                <w:rFonts w:ascii="Times New Roman"/>
                <w:sz w:val="22"/>
              </w:rPr>
            </w:pPr>
          </w:p>
        </w:tc>
      </w:tr>
      <w:tr>
        <w:trPr>
          <w:trHeight w:val="552" w:hRule="atLeast"/>
        </w:trPr>
        <w:tc>
          <w:tcPr>
            <w:tcW w:w="4098" w:type="dxa"/>
          </w:tcPr>
          <w:p>
            <w:pPr>
              <w:pStyle w:val="TableParagraph"/>
              <w:spacing w:line="270" w:lineRule="atLeast"/>
              <w:ind w:right="93"/>
              <w:rPr>
                <w:sz w:val="24"/>
              </w:rPr>
            </w:pPr>
            <w:r>
              <w:rPr>
                <w:sz w:val="24"/>
              </w:rPr>
              <w:t>Are</w:t>
            </w:r>
            <w:r>
              <w:rPr>
                <w:spacing w:val="-10"/>
                <w:sz w:val="24"/>
              </w:rPr>
              <w:t> </w:t>
            </w:r>
            <w:r>
              <w:rPr>
                <w:sz w:val="24"/>
              </w:rPr>
              <w:t>there</w:t>
            </w:r>
            <w:r>
              <w:rPr>
                <w:spacing w:val="-10"/>
                <w:sz w:val="24"/>
              </w:rPr>
              <w:t> </w:t>
            </w:r>
            <w:r>
              <w:rPr>
                <w:sz w:val="24"/>
              </w:rPr>
              <w:t>linked</w:t>
            </w:r>
            <w:r>
              <w:rPr>
                <w:spacing w:val="-10"/>
                <w:sz w:val="24"/>
              </w:rPr>
              <w:t> </w:t>
            </w:r>
            <w:r>
              <w:rPr>
                <w:sz w:val="24"/>
              </w:rPr>
              <w:t>policies</w:t>
            </w:r>
            <w:r>
              <w:rPr>
                <w:spacing w:val="-10"/>
                <w:sz w:val="24"/>
              </w:rPr>
              <w:t> </w:t>
            </w:r>
            <w:r>
              <w:rPr>
                <w:sz w:val="24"/>
              </w:rPr>
              <w:t>and </w:t>
            </w:r>
            <w:r>
              <w:rPr>
                <w:spacing w:val="-2"/>
                <w:sz w:val="24"/>
              </w:rPr>
              <w:t>procedures?</w:t>
            </w:r>
          </w:p>
        </w:tc>
        <w:tc>
          <w:tcPr>
            <w:tcW w:w="1443" w:type="dxa"/>
          </w:tcPr>
          <w:p>
            <w:pPr>
              <w:pStyle w:val="TableParagraph"/>
              <w:spacing w:before="1"/>
              <w:ind w:left="10" w:right="2"/>
              <w:jc w:val="center"/>
              <w:rPr>
                <w:sz w:val="24"/>
              </w:rPr>
            </w:pPr>
            <w:r>
              <w:rPr>
                <w:spacing w:val="-5"/>
                <w:sz w:val="24"/>
              </w:rPr>
              <w:t>Yes</w:t>
            </w:r>
          </w:p>
        </w:tc>
        <w:tc>
          <w:tcPr>
            <w:tcW w:w="4237" w:type="dxa"/>
          </w:tcPr>
          <w:p>
            <w:pPr>
              <w:pStyle w:val="TableParagraph"/>
              <w:spacing w:before="1"/>
              <w:ind w:left="0" w:right="1340"/>
              <w:jc w:val="right"/>
              <w:rPr>
                <w:sz w:val="24"/>
              </w:rPr>
            </w:pPr>
            <w:r>
              <w:rPr>
                <w:sz w:val="24"/>
              </w:rPr>
              <w:t>IG</w:t>
            </w:r>
            <w:r>
              <w:rPr>
                <w:spacing w:val="-1"/>
                <w:sz w:val="24"/>
              </w:rPr>
              <w:t> </w:t>
            </w:r>
            <w:r>
              <w:rPr>
                <w:sz w:val="24"/>
              </w:rPr>
              <w:t>Policy</w:t>
            </w:r>
            <w:r>
              <w:rPr>
                <w:spacing w:val="-1"/>
                <w:sz w:val="24"/>
              </w:rPr>
              <w:t> </w:t>
            </w:r>
            <w:r>
              <w:rPr>
                <w:spacing w:val="-2"/>
                <w:sz w:val="24"/>
              </w:rPr>
              <w:t>suite</w:t>
            </w:r>
          </w:p>
        </w:tc>
      </w:tr>
      <w:tr>
        <w:trPr>
          <w:trHeight w:val="552" w:hRule="atLeast"/>
        </w:trPr>
        <w:tc>
          <w:tcPr>
            <w:tcW w:w="4098" w:type="dxa"/>
          </w:tcPr>
          <w:p>
            <w:pPr>
              <w:pStyle w:val="TableParagraph"/>
              <w:spacing w:line="276" w:lineRule="exact"/>
              <w:ind w:right="93"/>
              <w:rPr>
                <w:sz w:val="24"/>
              </w:rPr>
            </w:pPr>
            <w:r>
              <w:rPr>
                <w:sz w:val="24"/>
              </w:rPr>
              <w:t>Has</w:t>
            </w:r>
            <w:r>
              <w:rPr>
                <w:spacing w:val="-9"/>
                <w:sz w:val="24"/>
              </w:rPr>
              <w:t> </w:t>
            </w:r>
            <w:r>
              <w:rPr>
                <w:sz w:val="24"/>
              </w:rPr>
              <w:t>the</w:t>
            </w:r>
            <w:r>
              <w:rPr>
                <w:spacing w:val="-11"/>
                <w:sz w:val="24"/>
              </w:rPr>
              <w:t> </w:t>
            </w:r>
            <w:r>
              <w:rPr>
                <w:sz w:val="24"/>
              </w:rPr>
              <w:t>lead</w:t>
            </w:r>
            <w:r>
              <w:rPr>
                <w:spacing w:val="-11"/>
                <w:sz w:val="24"/>
              </w:rPr>
              <w:t> </w:t>
            </w:r>
            <w:r>
              <w:rPr>
                <w:sz w:val="24"/>
              </w:rPr>
              <w:t>Executive</w:t>
            </w:r>
            <w:r>
              <w:rPr>
                <w:spacing w:val="-10"/>
                <w:sz w:val="24"/>
              </w:rPr>
              <w:t> </w:t>
            </w:r>
            <w:r>
              <w:rPr>
                <w:sz w:val="24"/>
              </w:rPr>
              <w:t>Director approved the policy?</w:t>
            </w:r>
          </w:p>
        </w:tc>
        <w:tc>
          <w:tcPr>
            <w:tcW w:w="1443" w:type="dxa"/>
          </w:tcPr>
          <w:p>
            <w:pPr>
              <w:pStyle w:val="TableParagraph"/>
              <w:ind w:left="10" w:right="2"/>
              <w:jc w:val="center"/>
              <w:rPr>
                <w:sz w:val="24"/>
              </w:rPr>
            </w:pPr>
            <w:r>
              <w:rPr>
                <w:spacing w:val="-5"/>
                <w:sz w:val="24"/>
              </w:rPr>
              <w:t>Yes</w:t>
            </w:r>
          </w:p>
        </w:tc>
        <w:tc>
          <w:tcPr>
            <w:tcW w:w="4237" w:type="dxa"/>
          </w:tcPr>
          <w:p>
            <w:pPr>
              <w:pStyle w:val="TableParagraph"/>
              <w:ind w:left="11" w:right="4"/>
              <w:jc w:val="center"/>
              <w:rPr>
                <w:sz w:val="24"/>
              </w:rPr>
            </w:pPr>
            <w:r>
              <w:rPr>
                <w:sz w:val="24"/>
              </w:rPr>
              <w:t>Via</w:t>
            </w:r>
            <w:r>
              <w:rPr>
                <w:spacing w:val="-1"/>
                <w:sz w:val="24"/>
              </w:rPr>
              <w:t> </w:t>
            </w:r>
            <w:r>
              <w:rPr>
                <w:spacing w:val="-5"/>
                <w:sz w:val="24"/>
              </w:rPr>
              <w:t>IGG</w:t>
            </w:r>
          </w:p>
        </w:tc>
      </w:tr>
      <w:tr>
        <w:trPr>
          <w:trHeight w:val="551" w:hRule="atLeast"/>
        </w:trPr>
        <w:tc>
          <w:tcPr>
            <w:tcW w:w="4098" w:type="dxa"/>
          </w:tcPr>
          <w:p>
            <w:pPr>
              <w:pStyle w:val="TableParagraph"/>
              <w:spacing w:line="270" w:lineRule="atLeast"/>
              <w:ind w:right="186"/>
              <w:rPr>
                <w:sz w:val="24"/>
              </w:rPr>
            </w:pPr>
            <w:r>
              <w:rPr>
                <w:sz w:val="24"/>
              </w:rPr>
              <w:t>Which</w:t>
            </w:r>
            <w:r>
              <w:rPr>
                <w:spacing w:val="-13"/>
                <w:sz w:val="24"/>
              </w:rPr>
              <w:t> </w:t>
            </w:r>
            <w:r>
              <w:rPr>
                <w:sz w:val="24"/>
              </w:rPr>
              <w:t>Committees</w:t>
            </w:r>
            <w:r>
              <w:rPr>
                <w:spacing w:val="-14"/>
                <w:sz w:val="24"/>
              </w:rPr>
              <w:t> </w:t>
            </w:r>
            <w:r>
              <w:rPr>
                <w:sz w:val="24"/>
              </w:rPr>
              <w:t>have</w:t>
            </w:r>
            <w:r>
              <w:rPr>
                <w:spacing w:val="-14"/>
                <w:sz w:val="24"/>
              </w:rPr>
              <w:t> </w:t>
            </w:r>
            <w:r>
              <w:rPr>
                <w:sz w:val="24"/>
              </w:rPr>
              <w:t>assured the policy?</w:t>
            </w:r>
          </w:p>
        </w:tc>
        <w:tc>
          <w:tcPr>
            <w:tcW w:w="1443" w:type="dxa"/>
          </w:tcPr>
          <w:p>
            <w:pPr>
              <w:pStyle w:val="TableParagraph"/>
              <w:ind w:left="10" w:right="2"/>
              <w:jc w:val="center"/>
              <w:rPr>
                <w:sz w:val="24"/>
              </w:rPr>
            </w:pPr>
            <w:r>
              <w:rPr>
                <w:spacing w:val="-5"/>
                <w:sz w:val="24"/>
              </w:rPr>
              <w:t>Yes</w:t>
            </w:r>
          </w:p>
        </w:tc>
        <w:tc>
          <w:tcPr>
            <w:tcW w:w="4237" w:type="dxa"/>
          </w:tcPr>
          <w:p>
            <w:pPr>
              <w:pStyle w:val="TableParagraph"/>
              <w:ind w:left="11"/>
              <w:jc w:val="center"/>
              <w:rPr>
                <w:sz w:val="24"/>
              </w:rPr>
            </w:pPr>
            <w:r>
              <w:rPr>
                <w:spacing w:val="-5"/>
                <w:sz w:val="24"/>
              </w:rPr>
              <w:t>IGG</w:t>
            </w:r>
          </w:p>
        </w:tc>
      </w:tr>
      <w:tr>
        <w:trPr>
          <w:trHeight w:val="551" w:hRule="atLeast"/>
        </w:trPr>
        <w:tc>
          <w:tcPr>
            <w:tcW w:w="4098" w:type="dxa"/>
          </w:tcPr>
          <w:p>
            <w:pPr>
              <w:pStyle w:val="TableParagraph"/>
              <w:spacing w:line="270" w:lineRule="atLeast"/>
              <w:ind w:right="93"/>
              <w:rPr>
                <w:sz w:val="24"/>
              </w:rPr>
            </w:pPr>
            <w:r>
              <w:rPr>
                <w:sz w:val="24"/>
              </w:rPr>
              <w:t>Has</w:t>
            </w:r>
            <w:r>
              <w:rPr>
                <w:spacing w:val="-10"/>
                <w:sz w:val="24"/>
              </w:rPr>
              <w:t> </w:t>
            </w:r>
            <w:r>
              <w:rPr>
                <w:sz w:val="24"/>
              </w:rPr>
              <w:t>an</w:t>
            </w:r>
            <w:r>
              <w:rPr>
                <w:spacing w:val="-10"/>
                <w:sz w:val="24"/>
              </w:rPr>
              <w:t> </w:t>
            </w:r>
            <w:r>
              <w:rPr>
                <w:sz w:val="24"/>
              </w:rPr>
              <w:t>implementation</w:t>
            </w:r>
            <w:r>
              <w:rPr>
                <w:spacing w:val="-11"/>
                <w:sz w:val="24"/>
              </w:rPr>
              <w:t> </w:t>
            </w:r>
            <w:r>
              <w:rPr>
                <w:sz w:val="24"/>
              </w:rPr>
              <w:t>plan</w:t>
            </w:r>
            <w:r>
              <w:rPr>
                <w:spacing w:val="-10"/>
                <w:sz w:val="24"/>
              </w:rPr>
              <w:t> </w:t>
            </w:r>
            <w:r>
              <w:rPr>
                <w:sz w:val="24"/>
              </w:rPr>
              <w:t>been </w:t>
            </w:r>
            <w:r>
              <w:rPr>
                <w:spacing w:val="-2"/>
                <w:sz w:val="24"/>
              </w:rPr>
              <w:t>provided?</w:t>
            </w:r>
          </w:p>
        </w:tc>
        <w:tc>
          <w:tcPr>
            <w:tcW w:w="1443" w:type="dxa"/>
          </w:tcPr>
          <w:p>
            <w:pPr>
              <w:pStyle w:val="TableParagraph"/>
              <w:ind w:left="10" w:right="2"/>
              <w:jc w:val="center"/>
              <w:rPr>
                <w:sz w:val="24"/>
              </w:rPr>
            </w:pPr>
            <w:r>
              <w:rPr>
                <w:spacing w:val="-5"/>
                <w:sz w:val="24"/>
              </w:rPr>
              <w:t>Yes</w:t>
            </w:r>
          </w:p>
        </w:tc>
        <w:tc>
          <w:tcPr>
            <w:tcW w:w="4237" w:type="dxa"/>
          </w:tcPr>
          <w:p>
            <w:pPr>
              <w:pStyle w:val="TableParagraph"/>
              <w:ind w:left="0"/>
              <w:rPr>
                <w:rFonts w:ascii="Times New Roman"/>
                <w:sz w:val="22"/>
              </w:rPr>
            </w:pPr>
          </w:p>
        </w:tc>
      </w:tr>
      <w:tr>
        <w:trPr>
          <w:trHeight w:val="274" w:hRule="atLeast"/>
        </w:trPr>
        <w:tc>
          <w:tcPr>
            <w:tcW w:w="4098" w:type="dxa"/>
          </w:tcPr>
          <w:p>
            <w:pPr>
              <w:pStyle w:val="TableParagraph"/>
              <w:spacing w:line="255" w:lineRule="exact"/>
              <w:rPr>
                <w:sz w:val="24"/>
              </w:rPr>
            </w:pPr>
            <w:r>
              <w:rPr>
                <w:sz w:val="24"/>
              </w:rPr>
              <w:t>How</w:t>
            </w:r>
            <w:r>
              <w:rPr>
                <w:spacing w:val="-7"/>
                <w:sz w:val="24"/>
              </w:rPr>
              <w:t> </w:t>
            </w:r>
            <w:r>
              <w:rPr>
                <w:sz w:val="24"/>
              </w:rPr>
              <w:t>will</w:t>
            </w:r>
            <w:r>
              <w:rPr>
                <w:spacing w:val="-7"/>
                <w:sz w:val="24"/>
              </w:rPr>
              <w:t> </w:t>
            </w:r>
            <w:r>
              <w:rPr>
                <w:sz w:val="24"/>
              </w:rPr>
              <w:t>the</w:t>
            </w:r>
            <w:r>
              <w:rPr>
                <w:spacing w:val="-7"/>
                <w:sz w:val="24"/>
              </w:rPr>
              <w:t> </w:t>
            </w:r>
            <w:r>
              <w:rPr>
                <w:sz w:val="24"/>
              </w:rPr>
              <w:t>policy</w:t>
            </w:r>
            <w:r>
              <w:rPr>
                <w:spacing w:val="-9"/>
                <w:sz w:val="24"/>
              </w:rPr>
              <w:t> </w:t>
            </w:r>
            <w:r>
              <w:rPr>
                <w:sz w:val="24"/>
              </w:rPr>
              <w:t>be</w:t>
            </w:r>
            <w:r>
              <w:rPr>
                <w:spacing w:val="-8"/>
                <w:sz w:val="24"/>
              </w:rPr>
              <w:t> </w:t>
            </w:r>
            <w:r>
              <w:rPr>
                <w:sz w:val="24"/>
              </w:rPr>
              <w:t>shared</w:t>
            </w:r>
            <w:r>
              <w:rPr>
                <w:spacing w:val="-7"/>
                <w:sz w:val="24"/>
              </w:rPr>
              <w:t> </w:t>
            </w:r>
            <w:r>
              <w:rPr>
                <w:spacing w:val="-4"/>
                <w:sz w:val="24"/>
              </w:rPr>
              <w:t>with</w:t>
            </w:r>
          </w:p>
        </w:tc>
        <w:tc>
          <w:tcPr>
            <w:tcW w:w="1443" w:type="dxa"/>
          </w:tcPr>
          <w:p>
            <w:pPr>
              <w:pStyle w:val="TableParagraph"/>
              <w:spacing w:line="255" w:lineRule="exact"/>
              <w:ind w:left="10" w:right="2"/>
              <w:jc w:val="center"/>
              <w:rPr>
                <w:sz w:val="24"/>
              </w:rPr>
            </w:pPr>
            <w:r>
              <w:rPr>
                <w:spacing w:val="-5"/>
                <w:sz w:val="24"/>
              </w:rPr>
              <w:t>Yes</w:t>
            </w:r>
          </w:p>
        </w:tc>
        <w:tc>
          <w:tcPr>
            <w:tcW w:w="4237" w:type="dxa"/>
          </w:tcPr>
          <w:p>
            <w:pPr>
              <w:pStyle w:val="TableParagraph"/>
              <w:spacing w:line="255" w:lineRule="exact"/>
              <w:ind w:left="11" w:right="1"/>
              <w:jc w:val="center"/>
              <w:rPr>
                <w:sz w:val="24"/>
              </w:rPr>
            </w:pPr>
            <w:r>
              <w:rPr>
                <w:spacing w:val="-2"/>
                <w:sz w:val="24"/>
              </w:rPr>
              <w:t>Intranet</w:t>
            </w:r>
          </w:p>
        </w:tc>
      </w:tr>
      <w:tr>
        <w:trPr>
          <w:trHeight w:val="827" w:hRule="atLeast"/>
        </w:trPr>
        <w:tc>
          <w:tcPr>
            <w:tcW w:w="4098" w:type="dxa"/>
          </w:tcPr>
          <w:p>
            <w:pPr>
              <w:pStyle w:val="TableParagraph"/>
              <w:spacing w:line="270" w:lineRule="atLeast"/>
              <w:ind w:right="93"/>
              <w:rPr>
                <w:sz w:val="24"/>
              </w:rPr>
            </w:pPr>
            <w:r>
              <w:rPr>
                <w:sz w:val="24"/>
              </w:rPr>
              <w:t>Will an audit trail demonstrating receipt</w:t>
            </w:r>
            <w:r>
              <w:rPr>
                <w:spacing w:val="-7"/>
                <w:sz w:val="24"/>
              </w:rPr>
              <w:t> </w:t>
            </w:r>
            <w:r>
              <w:rPr>
                <w:sz w:val="24"/>
              </w:rPr>
              <w:t>of</w:t>
            </w:r>
            <w:r>
              <w:rPr>
                <w:spacing w:val="-7"/>
                <w:sz w:val="24"/>
              </w:rPr>
              <w:t> </w:t>
            </w:r>
            <w:r>
              <w:rPr>
                <w:sz w:val="24"/>
              </w:rPr>
              <w:t>policy</w:t>
            </w:r>
            <w:r>
              <w:rPr>
                <w:spacing w:val="-7"/>
                <w:sz w:val="24"/>
              </w:rPr>
              <w:t> </w:t>
            </w:r>
            <w:r>
              <w:rPr>
                <w:sz w:val="24"/>
              </w:rPr>
              <w:t>by</w:t>
            </w:r>
            <w:r>
              <w:rPr>
                <w:spacing w:val="-7"/>
                <w:sz w:val="24"/>
              </w:rPr>
              <w:t> </w:t>
            </w:r>
            <w:r>
              <w:rPr>
                <w:sz w:val="24"/>
              </w:rPr>
              <w:t>staff</w:t>
            </w:r>
            <w:r>
              <w:rPr>
                <w:spacing w:val="-7"/>
                <w:sz w:val="24"/>
              </w:rPr>
              <w:t> </w:t>
            </w:r>
            <w:r>
              <w:rPr>
                <w:sz w:val="24"/>
              </w:rPr>
              <w:t>be</w:t>
            </w:r>
            <w:r>
              <w:rPr>
                <w:spacing w:val="-7"/>
                <w:sz w:val="24"/>
              </w:rPr>
              <w:t> </w:t>
            </w:r>
            <w:r>
              <w:rPr>
                <w:sz w:val="24"/>
              </w:rPr>
              <w:t>required; how will this be done?</w:t>
            </w:r>
          </w:p>
        </w:tc>
        <w:tc>
          <w:tcPr>
            <w:tcW w:w="1443" w:type="dxa"/>
          </w:tcPr>
          <w:p>
            <w:pPr>
              <w:pStyle w:val="TableParagraph"/>
              <w:ind w:left="10" w:right="6"/>
              <w:jc w:val="center"/>
              <w:rPr>
                <w:sz w:val="24"/>
              </w:rPr>
            </w:pPr>
            <w:r>
              <w:rPr>
                <w:spacing w:val="-5"/>
                <w:sz w:val="24"/>
              </w:rPr>
              <w:t>No</w:t>
            </w:r>
          </w:p>
        </w:tc>
        <w:tc>
          <w:tcPr>
            <w:tcW w:w="4237" w:type="dxa"/>
          </w:tcPr>
          <w:p>
            <w:pPr>
              <w:pStyle w:val="TableParagraph"/>
              <w:ind w:left="0"/>
              <w:rPr>
                <w:rFonts w:ascii="Times New Roman"/>
                <w:sz w:val="22"/>
              </w:rPr>
            </w:pPr>
          </w:p>
        </w:tc>
      </w:tr>
      <w:tr>
        <w:trPr>
          <w:trHeight w:val="551" w:hRule="atLeast"/>
        </w:trPr>
        <w:tc>
          <w:tcPr>
            <w:tcW w:w="4098" w:type="dxa"/>
          </w:tcPr>
          <w:p>
            <w:pPr>
              <w:pStyle w:val="TableParagraph"/>
              <w:spacing w:line="270" w:lineRule="atLeast"/>
              <w:ind w:right="93"/>
              <w:rPr>
                <w:sz w:val="24"/>
              </w:rPr>
            </w:pPr>
            <w:r>
              <w:rPr>
                <w:sz w:val="24"/>
              </w:rPr>
              <w:t>Has</w:t>
            </w:r>
            <w:r>
              <w:rPr>
                <w:spacing w:val="-8"/>
                <w:sz w:val="24"/>
              </w:rPr>
              <w:t> </w:t>
            </w:r>
            <w:r>
              <w:rPr>
                <w:sz w:val="24"/>
              </w:rPr>
              <w:t>a</w:t>
            </w:r>
            <w:r>
              <w:rPr>
                <w:spacing w:val="-8"/>
                <w:sz w:val="24"/>
              </w:rPr>
              <w:t> </w:t>
            </w:r>
            <w:r>
              <w:rPr>
                <w:sz w:val="24"/>
              </w:rPr>
              <w:t>DPIA</w:t>
            </w:r>
            <w:r>
              <w:rPr>
                <w:spacing w:val="-8"/>
                <w:sz w:val="24"/>
              </w:rPr>
              <w:t> </w:t>
            </w:r>
            <w:r>
              <w:rPr>
                <w:sz w:val="24"/>
              </w:rPr>
              <w:t>been</w:t>
            </w:r>
            <w:r>
              <w:rPr>
                <w:spacing w:val="-8"/>
                <w:sz w:val="24"/>
              </w:rPr>
              <w:t> </w:t>
            </w:r>
            <w:r>
              <w:rPr>
                <w:sz w:val="24"/>
              </w:rPr>
              <w:t>considered</w:t>
            </w:r>
            <w:r>
              <w:rPr>
                <w:spacing w:val="-8"/>
                <w:sz w:val="24"/>
              </w:rPr>
              <w:t> </w:t>
            </w:r>
            <w:r>
              <w:rPr>
                <w:sz w:val="24"/>
              </w:rPr>
              <w:t>in regards to this policy?</w:t>
            </w:r>
          </w:p>
        </w:tc>
        <w:tc>
          <w:tcPr>
            <w:tcW w:w="1443" w:type="dxa"/>
          </w:tcPr>
          <w:p>
            <w:pPr>
              <w:pStyle w:val="TableParagraph"/>
              <w:ind w:left="10" w:right="3"/>
              <w:jc w:val="center"/>
              <w:rPr>
                <w:sz w:val="24"/>
              </w:rPr>
            </w:pPr>
            <w:r>
              <w:rPr>
                <w:spacing w:val="-5"/>
                <w:sz w:val="24"/>
              </w:rPr>
              <w:t>N/A</w:t>
            </w:r>
          </w:p>
        </w:tc>
        <w:tc>
          <w:tcPr>
            <w:tcW w:w="4237" w:type="dxa"/>
          </w:tcPr>
          <w:p>
            <w:pPr>
              <w:pStyle w:val="TableParagraph"/>
              <w:ind w:left="0"/>
              <w:rPr>
                <w:rFonts w:ascii="Times New Roman"/>
                <w:sz w:val="22"/>
              </w:rPr>
            </w:pPr>
          </w:p>
        </w:tc>
      </w:tr>
      <w:tr>
        <w:trPr>
          <w:trHeight w:val="553" w:hRule="atLeast"/>
        </w:trPr>
        <w:tc>
          <w:tcPr>
            <w:tcW w:w="4098" w:type="dxa"/>
          </w:tcPr>
          <w:p>
            <w:pPr>
              <w:pStyle w:val="TableParagraph"/>
              <w:spacing w:line="270" w:lineRule="atLeast"/>
              <w:ind w:right="93"/>
              <w:rPr>
                <w:sz w:val="24"/>
              </w:rPr>
            </w:pPr>
            <w:r>
              <w:rPr>
                <w:sz w:val="24"/>
              </w:rPr>
              <w:t>Have</w:t>
            </w:r>
            <w:r>
              <w:rPr>
                <w:spacing w:val="-12"/>
                <w:sz w:val="24"/>
              </w:rPr>
              <w:t> </w:t>
            </w:r>
            <w:r>
              <w:rPr>
                <w:sz w:val="24"/>
              </w:rPr>
              <w:t>Data</w:t>
            </w:r>
            <w:r>
              <w:rPr>
                <w:spacing w:val="-12"/>
                <w:sz w:val="24"/>
              </w:rPr>
              <w:t> </w:t>
            </w:r>
            <w:r>
              <w:rPr>
                <w:sz w:val="24"/>
              </w:rPr>
              <w:t>Protection</w:t>
            </w:r>
            <w:r>
              <w:rPr>
                <w:spacing w:val="-14"/>
                <w:sz w:val="24"/>
              </w:rPr>
              <w:t> </w:t>
            </w:r>
            <w:r>
              <w:rPr>
                <w:sz w:val="24"/>
              </w:rPr>
              <w:t>implications have been considered?</w:t>
            </w:r>
          </w:p>
        </w:tc>
        <w:tc>
          <w:tcPr>
            <w:tcW w:w="1443" w:type="dxa"/>
          </w:tcPr>
          <w:p>
            <w:pPr>
              <w:pStyle w:val="TableParagraph"/>
              <w:spacing w:before="2"/>
              <w:ind w:left="10" w:right="2"/>
              <w:jc w:val="center"/>
              <w:rPr>
                <w:sz w:val="24"/>
              </w:rPr>
            </w:pPr>
            <w:r>
              <w:rPr>
                <w:spacing w:val="-5"/>
                <w:sz w:val="24"/>
              </w:rPr>
              <w:t>Yes</w:t>
            </w:r>
          </w:p>
        </w:tc>
        <w:tc>
          <w:tcPr>
            <w:tcW w:w="4237" w:type="dxa"/>
          </w:tcPr>
          <w:p>
            <w:pPr>
              <w:pStyle w:val="TableParagraph"/>
              <w:ind w:left="0"/>
              <w:rPr>
                <w:rFonts w:ascii="Times New Roman"/>
                <w:sz w:val="22"/>
              </w:rPr>
            </w:pPr>
          </w:p>
        </w:tc>
      </w:tr>
    </w:tbl>
    <w:p>
      <w:pPr>
        <w:spacing w:after="0"/>
        <w:rPr>
          <w:rFonts w:ascii="Times New Roman"/>
          <w:sz w:val="22"/>
        </w:rPr>
        <w:sectPr>
          <w:headerReference w:type="default" r:id="rId10"/>
          <w:footerReference w:type="default" r:id="rId11"/>
          <w:pgSz w:w="11910" w:h="16840"/>
          <w:pgMar w:header="570" w:footer="1032" w:top="1200" w:bottom="1220" w:left="560" w:right="680"/>
          <w:pgNumType w:start="2"/>
        </w:sectPr>
      </w:pPr>
    </w:p>
    <w:p>
      <w:pPr>
        <w:pStyle w:val="BodyText"/>
        <w:rPr>
          <w:rFonts w:ascii="Arial Black"/>
          <w:sz w:val="20"/>
        </w:rPr>
      </w:pPr>
    </w:p>
    <w:p>
      <w:pPr>
        <w:pStyle w:val="BodyText"/>
        <w:rPr>
          <w:rFonts w:ascii="Arial Black"/>
          <w:sz w:val="20"/>
        </w:rPr>
      </w:pPr>
    </w:p>
    <w:p>
      <w:pPr>
        <w:pStyle w:val="BodyText"/>
        <w:spacing w:before="94"/>
        <w:rPr>
          <w:rFonts w:ascii="Arial Black"/>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699"/>
        <w:gridCol w:w="6769"/>
      </w:tblGrid>
      <w:tr>
        <w:trPr>
          <w:trHeight w:val="275" w:hRule="atLeast"/>
        </w:trPr>
        <w:tc>
          <w:tcPr>
            <w:tcW w:w="1272" w:type="dxa"/>
            <w:shd w:val="clear" w:color="auto" w:fill="1C1F62"/>
          </w:tcPr>
          <w:p>
            <w:pPr>
              <w:pStyle w:val="TableParagraph"/>
              <w:spacing w:line="255" w:lineRule="exact"/>
              <w:rPr>
                <w:rFonts w:ascii="Arial"/>
                <w:b/>
                <w:sz w:val="24"/>
              </w:rPr>
            </w:pPr>
            <w:r>
              <w:rPr>
                <w:rFonts w:ascii="Arial"/>
                <w:b/>
                <w:color w:val="FFFFFF"/>
                <w:spacing w:val="-2"/>
                <w:sz w:val="24"/>
              </w:rPr>
              <w:t>Version</w:t>
            </w:r>
          </w:p>
        </w:tc>
        <w:tc>
          <w:tcPr>
            <w:tcW w:w="1699" w:type="dxa"/>
            <w:shd w:val="clear" w:color="auto" w:fill="1C1F62"/>
          </w:tcPr>
          <w:p>
            <w:pPr>
              <w:pStyle w:val="TableParagraph"/>
              <w:spacing w:line="255" w:lineRule="exact"/>
              <w:rPr>
                <w:rFonts w:ascii="Arial"/>
                <w:b/>
                <w:sz w:val="24"/>
              </w:rPr>
            </w:pPr>
            <w:r>
              <w:rPr>
                <w:rFonts w:ascii="Arial"/>
                <w:b/>
                <w:color w:val="FFFFFF"/>
                <w:spacing w:val="-4"/>
                <w:sz w:val="24"/>
              </w:rPr>
              <w:t>Date</w:t>
            </w:r>
          </w:p>
        </w:tc>
        <w:tc>
          <w:tcPr>
            <w:tcW w:w="6769" w:type="dxa"/>
            <w:shd w:val="clear" w:color="auto" w:fill="1C1F62"/>
          </w:tcPr>
          <w:p>
            <w:pPr>
              <w:pStyle w:val="TableParagraph"/>
              <w:spacing w:line="255" w:lineRule="exact"/>
              <w:rPr>
                <w:rFonts w:ascii="Arial"/>
                <w:b/>
                <w:sz w:val="24"/>
              </w:rPr>
            </w:pPr>
            <w:r>
              <w:rPr>
                <w:rFonts w:ascii="Arial"/>
                <w:b/>
                <w:color w:val="FFFFFF"/>
                <w:spacing w:val="-2"/>
                <w:sz w:val="24"/>
              </w:rPr>
              <w:t>Consultation</w:t>
            </w:r>
          </w:p>
        </w:tc>
      </w:tr>
      <w:tr>
        <w:trPr>
          <w:trHeight w:val="275" w:hRule="atLeast"/>
        </w:trPr>
        <w:tc>
          <w:tcPr>
            <w:tcW w:w="1272" w:type="dxa"/>
          </w:tcPr>
          <w:p>
            <w:pPr>
              <w:pStyle w:val="TableParagraph"/>
              <w:spacing w:line="255" w:lineRule="exact"/>
              <w:rPr>
                <w:sz w:val="24"/>
              </w:rPr>
            </w:pPr>
            <w:r>
              <w:rPr>
                <w:spacing w:val="-5"/>
                <w:sz w:val="24"/>
              </w:rPr>
              <w:t>1.2</w:t>
            </w:r>
          </w:p>
        </w:tc>
        <w:tc>
          <w:tcPr>
            <w:tcW w:w="1699" w:type="dxa"/>
          </w:tcPr>
          <w:p>
            <w:pPr>
              <w:pStyle w:val="TableParagraph"/>
              <w:spacing w:line="255" w:lineRule="exact"/>
              <w:rPr>
                <w:sz w:val="24"/>
              </w:rPr>
            </w:pPr>
            <w:r>
              <w:rPr>
                <w:sz w:val="24"/>
              </w:rPr>
              <w:t>June</w:t>
            </w:r>
            <w:r>
              <w:rPr>
                <w:spacing w:val="-3"/>
                <w:sz w:val="24"/>
              </w:rPr>
              <w:t> </w:t>
            </w:r>
            <w:r>
              <w:rPr>
                <w:spacing w:val="-4"/>
                <w:sz w:val="24"/>
              </w:rPr>
              <w:t>2022</w:t>
            </w:r>
          </w:p>
        </w:tc>
        <w:tc>
          <w:tcPr>
            <w:tcW w:w="6769" w:type="dxa"/>
          </w:tcPr>
          <w:p>
            <w:pPr>
              <w:pStyle w:val="TableParagraph"/>
              <w:spacing w:line="255" w:lineRule="exact"/>
              <w:rPr>
                <w:sz w:val="24"/>
              </w:rPr>
            </w:pPr>
            <w:r>
              <w:rPr>
                <w:spacing w:val="-2"/>
                <w:sz w:val="24"/>
              </w:rPr>
              <w:t>Approved</w:t>
            </w:r>
          </w:p>
        </w:tc>
      </w:tr>
      <w:tr>
        <w:trPr>
          <w:trHeight w:val="275" w:hRule="atLeast"/>
        </w:trPr>
        <w:tc>
          <w:tcPr>
            <w:tcW w:w="1272" w:type="dxa"/>
          </w:tcPr>
          <w:p>
            <w:pPr>
              <w:pStyle w:val="TableParagraph"/>
              <w:spacing w:line="255" w:lineRule="exact"/>
              <w:rPr>
                <w:sz w:val="24"/>
              </w:rPr>
            </w:pPr>
            <w:r>
              <w:rPr>
                <w:spacing w:val="-5"/>
                <w:sz w:val="24"/>
              </w:rPr>
              <w:t>1.3</w:t>
            </w:r>
          </w:p>
        </w:tc>
        <w:tc>
          <w:tcPr>
            <w:tcW w:w="1699" w:type="dxa"/>
          </w:tcPr>
          <w:p>
            <w:pPr>
              <w:pStyle w:val="TableParagraph"/>
              <w:spacing w:line="255" w:lineRule="exact"/>
              <w:rPr>
                <w:sz w:val="24"/>
              </w:rPr>
            </w:pPr>
            <w:r>
              <w:rPr>
                <w:sz w:val="24"/>
              </w:rPr>
              <w:t>June</w:t>
            </w:r>
            <w:r>
              <w:rPr>
                <w:spacing w:val="-3"/>
                <w:sz w:val="24"/>
              </w:rPr>
              <w:t> </w:t>
            </w:r>
            <w:r>
              <w:rPr>
                <w:spacing w:val="-4"/>
                <w:sz w:val="24"/>
              </w:rPr>
              <w:t>2024</w:t>
            </w:r>
          </w:p>
        </w:tc>
        <w:tc>
          <w:tcPr>
            <w:tcW w:w="6769" w:type="dxa"/>
          </w:tcPr>
          <w:p>
            <w:pPr>
              <w:pStyle w:val="TableParagraph"/>
              <w:spacing w:line="255" w:lineRule="exact"/>
              <w:rPr>
                <w:sz w:val="24"/>
              </w:rPr>
            </w:pPr>
            <w:r>
              <w:rPr>
                <w:sz w:val="24"/>
              </w:rPr>
              <w:t>Minor</w:t>
            </w:r>
            <w:r>
              <w:rPr>
                <w:spacing w:val="-9"/>
                <w:sz w:val="24"/>
              </w:rPr>
              <w:t> </w:t>
            </w:r>
            <w:r>
              <w:rPr>
                <w:spacing w:val="-2"/>
                <w:sz w:val="24"/>
              </w:rPr>
              <w:t>changes</w:t>
            </w:r>
          </w:p>
        </w:tc>
      </w:tr>
      <w:tr>
        <w:trPr>
          <w:trHeight w:val="830" w:hRule="atLeast"/>
        </w:trPr>
        <w:tc>
          <w:tcPr>
            <w:tcW w:w="1272" w:type="dxa"/>
          </w:tcPr>
          <w:p>
            <w:pPr>
              <w:pStyle w:val="TableParagraph"/>
              <w:spacing w:before="2"/>
              <w:rPr>
                <w:sz w:val="24"/>
              </w:rPr>
            </w:pPr>
            <w:r>
              <w:rPr>
                <w:spacing w:val="-5"/>
                <w:sz w:val="24"/>
              </w:rPr>
              <w:t>1.4</w:t>
            </w:r>
          </w:p>
        </w:tc>
        <w:tc>
          <w:tcPr>
            <w:tcW w:w="1699" w:type="dxa"/>
          </w:tcPr>
          <w:p>
            <w:pPr>
              <w:pStyle w:val="TableParagraph"/>
              <w:spacing w:before="2"/>
              <w:rPr>
                <w:sz w:val="24"/>
              </w:rPr>
            </w:pPr>
            <w:r>
              <w:rPr>
                <w:sz w:val="24"/>
              </w:rPr>
              <w:t>October</w:t>
            </w:r>
            <w:r>
              <w:rPr>
                <w:spacing w:val="-2"/>
                <w:sz w:val="24"/>
              </w:rPr>
              <w:t> </w:t>
            </w:r>
            <w:r>
              <w:rPr>
                <w:spacing w:val="-4"/>
                <w:sz w:val="24"/>
              </w:rPr>
              <w:t>2024</w:t>
            </w:r>
          </w:p>
        </w:tc>
        <w:tc>
          <w:tcPr>
            <w:tcW w:w="6769" w:type="dxa"/>
          </w:tcPr>
          <w:p>
            <w:pPr>
              <w:pStyle w:val="TableParagraph"/>
              <w:spacing w:line="270" w:lineRule="atLeast"/>
              <w:rPr>
                <w:sz w:val="24"/>
              </w:rPr>
            </w:pPr>
            <w:r>
              <w:rPr>
                <w:sz w:val="24"/>
              </w:rPr>
              <w:t>Requirements to add reference to managed services and reference</w:t>
            </w:r>
            <w:r>
              <w:rPr>
                <w:spacing w:val="-5"/>
                <w:sz w:val="24"/>
              </w:rPr>
              <w:t> </w:t>
            </w:r>
            <w:r>
              <w:rPr>
                <w:sz w:val="24"/>
              </w:rPr>
              <w:t>to</w:t>
            </w:r>
            <w:r>
              <w:rPr>
                <w:spacing w:val="-7"/>
                <w:sz w:val="24"/>
              </w:rPr>
              <w:t> </w:t>
            </w:r>
            <w:r>
              <w:rPr>
                <w:sz w:val="24"/>
              </w:rPr>
              <w:t>Directorate</w:t>
            </w:r>
            <w:r>
              <w:rPr>
                <w:spacing w:val="-5"/>
                <w:sz w:val="24"/>
              </w:rPr>
              <w:t> </w:t>
            </w:r>
            <w:r>
              <w:rPr>
                <w:sz w:val="24"/>
              </w:rPr>
              <w:t>leads</w:t>
            </w:r>
            <w:r>
              <w:rPr>
                <w:spacing w:val="-5"/>
                <w:sz w:val="24"/>
              </w:rPr>
              <w:t> </w:t>
            </w:r>
            <w:r>
              <w:rPr>
                <w:sz w:val="24"/>
              </w:rPr>
              <w:t>role</w:t>
            </w:r>
            <w:r>
              <w:rPr>
                <w:spacing w:val="-5"/>
                <w:sz w:val="24"/>
              </w:rPr>
              <w:t> </w:t>
            </w:r>
            <w:r>
              <w:rPr>
                <w:sz w:val="24"/>
              </w:rPr>
              <w:t>following</w:t>
            </w:r>
            <w:r>
              <w:rPr>
                <w:spacing w:val="-5"/>
                <w:sz w:val="24"/>
              </w:rPr>
              <w:t> </w:t>
            </w:r>
            <w:r>
              <w:rPr>
                <w:sz w:val="24"/>
              </w:rPr>
              <w:t>IGG</w:t>
            </w:r>
            <w:r>
              <w:rPr>
                <w:spacing w:val="-5"/>
                <w:sz w:val="24"/>
              </w:rPr>
              <w:t> </w:t>
            </w:r>
            <w:r>
              <w:rPr>
                <w:sz w:val="24"/>
              </w:rPr>
              <w:t>review</w:t>
            </w:r>
            <w:r>
              <w:rPr>
                <w:spacing w:val="-5"/>
                <w:sz w:val="24"/>
              </w:rPr>
              <w:t> </w:t>
            </w:r>
            <w:r>
              <w:rPr>
                <w:sz w:val="24"/>
              </w:rPr>
              <w:t>and </w:t>
            </w:r>
            <w:r>
              <w:rPr>
                <w:spacing w:val="-2"/>
                <w:sz w:val="24"/>
              </w:rPr>
              <w:t>approval.</w:t>
            </w:r>
          </w:p>
        </w:tc>
      </w:tr>
    </w:tbl>
    <w:p>
      <w:pPr>
        <w:spacing w:after="0" w:line="270" w:lineRule="atLeast"/>
        <w:rPr>
          <w:sz w:val="24"/>
        </w:rPr>
        <w:sectPr>
          <w:pgSz w:w="11910" w:h="16840"/>
          <w:pgMar w:header="570" w:footer="1032" w:top="1200" w:bottom="1220" w:left="560" w:right="680"/>
        </w:sectPr>
      </w:pPr>
    </w:p>
    <w:p>
      <w:pPr>
        <w:pStyle w:val="Heading1"/>
      </w:pPr>
      <w:bookmarkStart w:name="_bookmark2" w:id="3"/>
      <w:bookmarkEnd w:id="3"/>
      <w:r>
        <w:rPr/>
      </w:r>
      <w:r>
        <w:rPr>
          <w:color w:val="1C1F62"/>
        </w:rPr>
        <w:t>Table</w:t>
      </w:r>
      <w:r>
        <w:rPr>
          <w:color w:val="1C1F62"/>
          <w:spacing w:val="-3"/>
        </w:rPr>
        <w:t> </w:t>
      </w:r>
      <w:r>
        <w:rPr>
          <w:color w:val="1C1F62"/>
        </w:rPr>
        <w:t>of</w:t>
      </w:r>
      <w:r>
        <w:rPr>
          <w:color w:val="1C1F62"/>
          <w:spacing w:val="1"/>
        </w:rPr>
        <w:t> </w:t>
      </w:r>
      <w:r>
        <w:rPr>
          <w:color w:val="1C1F62"/>
          <w:spacing w:val="-2"/>
        </w:rPr>
        <w:t>contents</w:t>
      </w:r>
    </w:p>
    <w:sdt>
      <w:sdtPr>
        <w:docPartObj>
          <w:docPartGallery w:val="Table of Contents"/>
          <w:docPartUnique/>
        </w:docPartObj>
      </w:sdtPr>
      <w:sdtEndPr/>
      <w:sdtContent>
        <w:p>
          <w:pPr>
            <w:pStyle w:val="TOC1"/>
            <w:tabs>
              <w:tab w:pos="9295" w:val="right" w:leader="dot"/>
            </w:tabs>
            <w:spacing w:before="294"/>
          </w:pPr>
          <w:hyperlink w:history="true" w:anchor="_bookmark0">
            <w:r>
              <w:rPr>
                <w:color w:val="1C1F62"/>
              </w:rPr>
              <w:t>Information</w:t>
            </w:r>
            <w:r>
              <w:rPr>
                <w:color w:val="1C1F62"/>
                <w:spacing w:val="-7"/>
              </w:rPr>
              <w:t> </w:t>
            </w:r>
            <w:r>
              <w:rPr>
                <w:color w:val="1C1F62"/>
              </w:rPr>
              <w:t>Governance</w:t>
            </w:r>
            <w:r>
              <w:rPr>
                <w:color w:val="1C1F62"/>
                <w:spacing w:val="-6"/>
              </w:rPr>
              <w:t> </w:t>
            </w:r>
            <w:r>
              <w:rPr>
                <w:color w:val="1C1F62"/>
                <w:spacing w:val="-2"/>
              </w:rPr>
              <w:t>Policy</w:t>
            </w:r>
            <w:r>
              <w:rPr>
                <w:color w:val="1C1F62"/>
              </w:rPr>
              <w:tab/>
            </w:r>
            <w:r>
              <w:rPr>
                <w:color w:val="1C1F62"/>
                <w:spacing w:val="-10"/>
              </w:rPr>
              <w:t>1</w:t>
            </w:r>
          </w:hyperlink>
        </w:p>
        <w:p>
          <w:pPr>
            <w:pStyle w:val="TOC2"/>
            <w:tabs>
              <w:tab w:pos="9252" w:val="right" w:leader="dot"/>
            </w:tabs>
            <w:ind w:left="520" w:firstLine="0"/>
          </w:pPr>
          <w:hyperlink w:history="true" w:anchor="_bookmark1">
            <w:r>
              <w:rPr/>
              <w:t>Policy</w:t>
            </w:r>
            <w:r>
              <w:rPr>
                <w:spacing w:val="-5"/>
              </w:rPr>
              <w:t> </w:t>
            </w:r>
            <w:r>
              <w:rPr/>
              <w:t>Review</w:t>
            </w:r>
            <w:r>
              <w:rPr>
                <w:spacing w:val="-5"/>
              </w:rPr>
              <w:t> </w:t>
            </w:r>
            <w:r>
              <w:rPr>
                <w:spacing w:val="-2"/>
              </w:rPr>
              <w:t>Checklist</w:t>
            </w:r>
            <w:r>
              <w:rPr/>
              <w:tab/>
            </w:r>
            <w:r>
              <w:rPr>
                <w:spacing w:val="-10"/>
              </w:rPr>
              <w:t>2</w:t>
            </w:r>
          </w:hyperlink>
        </w:p>
        <w:p>
          <w:pPr>
            <w:pStyle w:val="TOC1"/>
            <w:tabs>
              <w:tab w:pos="9295" w:val="right" w:leader="dot"/>
            </w:tabs>
            <w:spacing w:before="283"/>
          </w:pPr>
          <w:hyperlink w:history="true" w:anchor="_bookmark2">
            <w:r>
              <w:rPr>
                <w:color w:val="1C1F62"/>
              </w:rPr>
              <w:t>Table</w:t>
            </w:r>
            <w:r>
              <w:rPr>
                <w:color w:val="1C1F62"/>
                <w:spacing w:val="-1"/>
              </w:rPr>
              <w:t> </w:t>
            </w:r>
            <w:r>
              <w:rPr>
                <w:color w:val="1C1F62"/>
              </w:rPr>
              <w:t>of</w:t>
            </w:r>
            <w:r>
              <w:rPr>
                <w:color w:val="1C1F62"/>
                <w:spacing w:val="-1"/>
              </w:rPr>
              <w:t> </w:t>
            </w:r>
            <w:r>
              <w:rPr>
                <w:color w:val="1C1F62"/>
                <w:spacing w:val="-2"/>
              </w:rPr>
              <w:t>contents</w:t>
            </w:r>
            <w:r>
              <w:rPr>
                <w:color w:val="1C1F62"/>
              </w:rPr>
              <w:tab/>
            </w:r>
            <w:r>
              <w:rPr>
                <w:color w:val="1C1F62"/>
                <w:spacing w:val="-10"/>
              </w:rPr>
              <w:t>4</w:t>
            </w:r>
          </w:hyperlink>
        </w:p>
        <w:p>
          <w:pPr>
            <w:pStyle w:val="TOC1"/>
            <w:tabs>
              <w:tab w:pos="9295" w:val="right" w:leader="dot"/>
            </w:tabs>
          </w:pPr>
          <w:hyperlink w:history="true" w:anchor="_bookmark3">
            <w:r>
              <w:rPr>
                <w:color w:val="1C1F62"/>
              </w:rPr>
              <w:t>Information</w:t>
            </w:r>
            <w:r>
              <w:rPr>
                <w:color w:val="1C1F62"/>
                <w:spacing w:val="-7"/>
              </w:rPr>
              <w:t> </w:t>
            </w:r>
            <w:r>
              <w:rPr>
                <w:color w:val="1C1F62"/>
              </w:rPr>
              <w:t>Governance</w:t>
            </w:r>
            <w:r>
              <w:rPr>
                <w:color w:val="1C1F62"/>
                <w:spacing w:val="-6"/>
              </w:rPr>
              <w:t> </w:t>
            </w:r>
            <w:r>
              <w:rPr>
                <w:color w:val="1C1F62"/>
                <w:spacing w:val="-2"/>
              </w:rPr>
              <w:t>Policy</w:t>
            </w:r>
            <w:r>
              <w:rPr>
                <w:color w:val="1C1F62"/>
              </w:rPr>
              <w:tab/>
            </w:r>
            <w:r>
              <w:rPr>
                <w:color w:val="1C1F62"/>
                <w:spacing w:val="-10"/>
              </w:rPr>
              <w:t>5</w:t>
            </w:r>
          </w:hyperlink>
        </w:p>
        <w:p>
          <w:pPr>
            <w:pStyle w:val="TOC2"/>
            <w:numPr>
              <w:ilvl w:val="0"/>
              <w:numId w:val="1"/>
            </w:numPr>
            <w:tabs>
              <w:tab w:pos="1151" w:val="left" w:leader="none"/>
              <w:tab w:pos="9252" w:val="right" w:leader="dot"/>
            </w:tabs>
            <w:spacing w:line="240" w:lineRule="auto" w:before="240" w:after="0"/>
            <w:ind w:left="1151" w:right="0" w:hanging="631"/>
            <w:jc w:val="left"/>
          </w:pPr>
          <w:hyperlink w:history="true" w:anchor="_bookmark4">
            <w:r>
              <w:rPr>
                <w:spacing w:val="-2"/>
              </w:rPr>
              <w:t>Introduction</w:t>
            </w:r>
            <w:r>
              <w:rPr/>
              <w:tab/>
            </w:r>
            <w:r>
              <w:rPr>
                <w:spacing w:val="-10"/>
              </w:rPr>
              <w:t>5</w:t>
            </w:r>
          </w:hyperlink>
        </w:p>
        <w:p>
          <w:pPr>
            <w:pStyle w:val="TOC3"/>
            <w:numPr>
              <w:ilvl w:val="1"/>
              <w:numId w:val="1"/>
            </w:numPr>
            <w:tabs>
              <w:tab w:pos="1780" w:val="left" w:leader="none"/>
              <w:tab w:pos="9252" w:val="right" w:leader="dot"/>
            </w:tabs>
            <w:spacing w:line="240" w:lineRule="auto" w:before="243" w:after="0"/>
            <w:ind w:left="1780" w:right="0" w:hanging="629"/>
            <w:jc w:val="left"/>
          </w:pPr>
          <w:hyperlink w:history="true" w:anchor="_bookmark5">
            <w:r>
              <w:rPr/>
              <w:t>BNSSG ICB</w:t>
            </w:r>
            <w:r>
              <w:rPr>
                <w:spacing w:val="-2"/>
              </w:rPr>
              <w:t> Values</w:t>
            </w:r>
            <w:r>
              <w:rPr/>
              <w:tab/>
            </w:r>
            <w:r>
              <w:rPr>
                <w:spacing w:val="-10"/>
              </w:rPr>
              <w:t>5</w:t>
            </w:r>
          </w:hyperlink>
        </w:p>
        <w:p>
          <w:pPr>
            <w:pStyle w:val="TOC2"/>
            <w:numPr>
              <w:ilvl w:val="0"/>
              <w:numId w:val="1"/>
            </w:numPr>
            <w:tabs>
              <w:tab w:pos="1151" w:val="left" w:leader="none"/>
              <w:tab w:pos="9252" w:val="right" w:leader="dot"/>
            </w:tabs>
            <w:spacing w:line="240" w:lineRule="auto" w:before="240" w:after="0"/>
            <w:ind w:left="1151" w:right="0" w:hanging="631"/>
            <w:jc w:val="left"/>
          </w:pPr>
          <w:hyperlink w:history="true" w:anchor="_bookmark6">
            <w:r>
              <w:rPr/>
              <w:t>Purpose</w:t>
            </w:r>
            <w:r>
              <w:rPr>
                <w:spacing w:val="-3"/>
              </w:rPr>
              <w:t> </w:t>
            </w:r>
            <w:r>
              <w:rPr/>
              <w:t>and</w:t>
            </w:r>
            <w:r>
              <w:rPr>
                <w:spacing w:val="-3"/>
              </w:rPr>
              <w:t> </w:t>
            </w:r>
            <w:r>
              <w:rPr>
                <w:spacing w:val="-2"/>
              </w:rPr>
              <w:t>scope</w:t>
            </w:r>
            <w:r>
              <w:rPr/>
              <w:tab/>
            </w:r>
            <w:r>
              <w:rPr>
                <w:spacing w:val="-10"/>
              </w:rPr>
              <w:t>5</w:t>
            </w:r>
          </w:hyperlink>
        </w:p>
        <w:p>
          <w:pPr>
            <w:pStyle w:val="TOC2"/>
            <w:numPr>
              <w:ilvl w:val="0"/>
              <w:numId w:val="1"/>
            </w:numPr>
            <w:tabs>
              <w:tab w:pos="1151" w:val="left" w:leader="none"/>
              <w:tab w:pos="9252" w:val="right" w:leader="dot"/>
            </w:tabs>
            <w:spacing w:line="240" w:lineRule="auto" w:before="242" w:after="0"/>
            <w:ind w:left="1151" w:right="0" w:hanging="631"/>
            <w:jc w:val="left"/>
          </w:pPr>
          <w:hyperlink w:history="true" w:anchor="_bookmark7">
            <w:r>
              <w:rPr/>
              <w:t>Duties</w:t>
            </w:r>
            <w:r>
              <w:rPr>
                <w:spacing w:val="-3"/>
              </w:rPr>
              <w:t> </w:t>
            </w:r>
            <w:r>
              <w:rPr/>
              <w:t>–</w:t>
            </w:r>
            <w:r>
              <w:rPr>
                <w:spacing w:val="-2"/>
              </w:rPr>
              <w:t> </w:t>
            </w:r>
            <w:r>
              <w:rPr/>
              <w:t>legal</w:t>
            </w:r>
            <w:r>
              <w:rPr>
                <w:spacing w:val="-2"/>
              </w:rPr>
              <w:t> </w:t>
            </w:r>
            <w:r>
              <w:rPr/>
              <w:t>framework</w:t>
            </w:r>
            <w:r>
              <w:rPr>
                <w:spacing w:val="-3"/>
              </w:rPr>
              <w:t> </w:t>
            </w:r>
            <w:r>
              <w:rPr/>
              <w:t>for</w:t>
            </w:r>
            <w:r>
              <w:rPr>
                <w:spacing w:val="-3"/>
              </w:rPr>
              <w:t> </w:t>
            </w:r>
            <w:r>
              <w:rPr/>
              <w:t>this</w:t>
            </w:r>
            <w:r>
              <w:rPr>
                <w:spacing w:val="-2"/>
              </w:rPr>
              <w:t> policy</w:t>
            </w:r>
            <w:r>
              <w:rPr/>
              <w:tab/>
            </w:r>
            <w:r>
              <w:rPr>
                <w:spacing w:val="-10"/>
              </w:rPr>
              <w:t>6</w:t>
            </w:r>
          </w:hyperlink>
        </w:p>
        <w:p>
          <w:pPr>
            <w:pStyle w:val="TOC2"/>
            <w:numPr>
              <w:ilvl w:val="0"/>
              <w:numId w:val="1"/>
            </w:numPr>
            <w:tabs>
              <w:tab w:pos="1151" w:val="left" w:leader="none"/>
              <w:tab w:pos="9252" w:val="right" w:leader="dot"/>
            </w:tabs>
            <w:spacing w:line="240" w:lineRule="auto" w:before="240" w:after="0"/>
            <w:ind w:left="1151" w:right="0" w:hanging="631"/>
            <w:jc w:val="left"/>
          </w:pPr>
          <w:hyperlink w:history="true" w:anchor="_bookmark8">
            <w:r>
              <w:rPr/>
              <w:t>Responsibilities</w:t>
            </w:r>
            <w:r>
              <w:rPr>
                <w:spacing w:val="-8"/>
              </w:rPr>
              <w:t> </w:t>
            </w:r>
            <w:r>
              <w:rPr/>
              <w:t>and</w:t>
            </w:r>
            <w:r>
              <w:rPr>
                <w:spacing w:val="-6"/>
              </w:rPr>
              <w:t> </w:t>
            </w:r>
            <w:r>
              <w:rPr>
                <w:spacing w:val="-2"/>
              </w:rPr>
              <w:t>Accountabilities</w:t>
            </w:r>
            <w:r>
              <w:rPr/>
              <w:tab/>
            </w:r>
            <w:r>
              <w:rPr>
                <w:spacing w:val="-10"/>
              </w:rPr>
              <w:t>7</w:t>
            </w:r>
          </w:hyperlink>
        </w:p>
        <w:p>
          <w:pPr>
            <w:pStyle w:val="TOC2"/>
            <w:numPr>
              <w:ilvl w:val="0"/>
              <w:numId w:val="1"/>
            </w:numPr>
            <w:tabs>
              <w:tab w:pos="1151" w:val="left" w:leader="none"/>
              <w:tab w:pos="9252" w:val="right" w:leader="dot"/>
            </w:tabs>
            <w:spacing w:line="240" w:lineRule="auto" w:before="243" w:after="0"/>
            <w:ind w:left="1151" w:right="0" w:hanging="631"/>
            <w:jc w:val="left"/>
          </w:pPr>
          <w:hyperlink w:history="true" w:anchor="_bookmark9">
            <w:r>
              <w:rPr/>
              <w:t>Definitions/explanations</w:t>
            </w:r>
            <w:r>
              <w:rPr>
                <w:spacing w:val="-8"/>
              </w:rPr>
              <w:t> </w:t>
            </w:r>
            <w:r>
              <w:rPr/>
              <w:t>of</w:t>
            </w:r>
            <w:r>
              <w:rPr>
                <w:spacing w:val="-7"/>
              </w:rPr>
              <w:t> </w:t>
            </w:r>
            <w:r>
              <w:rPr/>
              <w:t>terms</w:t>
            </w:r>
            <w:r>
              <w:rPr>
                <w:spacing w:val="-9"/>
              </w:rPr>
              <w:t> </w:t>
            </w:r>
            <w:r>
              <w:rPr>
                <w:spacing w:val="-4"/>
              </w:rPr>
              <w:t>used</w:t>
            </w:r>
            <w:r>
              <w:rPr/>
              <w:tab/>
            </w:r>
            <w:r>
              <w:rPr>
                <w:spacing w:val="-10"/>
              </w:rPr>
              <w:t>9</w:t>
            </w:r>
          </w:hyperlink>
        </w:p>
        <w:p>
          <w:pPr>
            <w:pStyle w:val="TOC2"/>
            <w:numPr>
              <w:ilvl w:val="0"/>
              <w:numId w:val="1"/>
            </w:numPr>
            <w:tabs>
              <w:tab w:pos="1151" w:val="left" w:leader="none"/>
              <w:tab w:pos="9255" w:val="right" w:leader="dot"/>
            </w:tabs>
            <w:spacing w:line="240" w:lineRule="auto" w:before="242" w:after="0"/>
            <w:ind w:left="1151" w:right="0" w:hanging="631"/>
            <w:jc w:val="left"/>
          </w:pPr>
          <w:hyperlink w:history="true" w:anchor="_bookmark10">
            <w:r>
              <w:rPr/>
              <w:t>Information</w:t>
            </w:r>
            <w:r>
              <w:rPr>
                <w:spacing w:val="-7"/>
              </w:rPr>
              <w:t> </w:t>
            </w:r>
            <w:r>
              <w:rPr>
                <w:spacing w:val="-2"/>
              </w:rPr>
              <w:t>Governance</w:t>
            </w:r>
            <w:r>
              <w:rPr/>
              <w:tab/>
            </w:r>
            <w:r>
              <w:rPr>
                <w:spacing w:val="-5"/>
              </w:rPr>
              <w:t>10</w:t>
            </w:r>
          </w:hyperlink>
        </w:p>
        <w:p>
          <w:pPr>
            <w:pStyle w:val="TOC2"/>
            <w:numPr>
              <w:ilvl w:val="0"/>
              <w:numId w:val="1"/>
            </w:numPr>
            <w:tabs>
              <w:tab w:pos="1151" w:val="left" w:leader="none"/>
              <w:tab w:pos="9255" w:val="right" w:leader="dot"/>
            </w:tabs>
            <w:spacing w:line="240" w:lineRule="auto" w:before="240" w:after="0"/>
            <w:ind w:left="1151" w:right="0" w:hanging="631"/>
            <w:jc w:val="left"/>
          </w:pPr>
          <w:hyperlink w:history="true" w:anchor="_bookmark11">
            <w:r>
              <w:rPr/>
              <w:t>Information</w:t>
            </w:r>
            <w:r>
              <w:rPr>
                <w:spacing w:val="-6"/>
              </w:rPr>
              <w:t> </w:t>
            </w:r>
            <w:r>
              <w:rPr/>
              <w:t>Quality</w:t>
            </w:r>
            <w:r>
              <w:rPr>
                <w:spacing w:val="-5"/>
              </w:rPr>
              <w:t> </w:t>
            </w:r>
            <w:r>
              <w:rPr>
                <w:spacing w:val="-2"/>
              </w:rPr>
              <w:t>Assurance</w:t>
            </w:r>
            <w:r>
              <w:rPr/>
              <w:tab/>
            </w:r>
            <w:r>
              <w:rPr>
                <w:spacing w:val="-5"/>
              </w:rPr>
              <w:t>11</w:t>
            </w:r>
          </w:hyperlink>
        </w:p>
        <w:p>
          <w:pPr>
            <w:pStyle w:val="TOC2"/>
            <w:numPr>
              <w:ilvl w:val="0"/>
              <w:numId w:val="1"/>
            </w:numPr>
            <w:tabs>
              <w:tab w:pos="1151" w:val="left" w:leader="none"/>
            </w:tabs>
            <w:spacing w:line="276" w:lineRule="auto" w:before="243" w:after="0"/>
            <w:ind w:left="1151" w:right="676" w:hanging="632"/>
            <w:jc w:val="left"/>
          </w:pPr>
          <w:hyperlink w:history="true" w:anchor="_bookmark12">
            <w:r>
              <w:rPr/>
              <w:t>Commissioning</w:t>
            </w:r>
            <w:r>
              <w:rPr>
                <w:spacing w:val="-4"/>
              </w:rPr>
              <w:t> </w:t>
            </w:r>
            <w:r>
              <w:rPr/>
              <w:t>of</w:t>
            </w:r>
            <w:r>
              <w:rPr>
                <w:spacing w:val="-5"/>
              </w:rPr>
              <w:t> </w:t>
            </w:r>
            <w:r>
              <w:rPr/>
              <w:t>new</w:t>
            </w:r>
            <w:r>
              <w:rPr>
                <w:spacing w:val="-6"/>
              </w:rPr>
              <w:t> </w:t>
            </w:r>
            <w:r>
              <w:rPr/>
              <w:t>services</w:t>
            </w:r>
            <w:r>
              <w:rPr>
                <w:spacing w:val="-3"/>
              </w:rPr>
              <w:t> </w:t>
            </w:r>
            <w:r>
              <w:rPr/>
              <w:t>and</w:t>
            </w:r>
            <w:r>
              <w:rPr>
                <w:spacing w:val="-3"/>
              </w:rPr>
              <w:t> </w:t>
            </w:r>
            <w:r>
              <w:rPr/>
              <w:t>the</w:t>
            </w:r>
            <w:r>
              <w:rPr>
                <w:spacing w:val="-5"/>
              </w:rPr>
              <w:t> </w:t>
            </w:r>
            <w:r>
              <w:rPr/>
              <w:t>use</w:t>
            </w:r>
            <w:r>
              <w:rPr>
                <w:spacing w:val="-5"/>
              </w:rPr>
              <w:t> </w:t>
            </w:r>
            <w:r>
              <w:rPr/>
              <w:t>of</w:t>
            </w:r>
            <w:r>
              <w:rPr>
                <w:spacing w:val="-3"/>
              </w:rPr>
              <w:t> </w:t>
            </w:r>
            <w:r>
              <w:rPr/>
              <w:t>data</w:t>
            </w:r>
            <w:r>
              <w:rPr>
                <w:spacing w:val="-4"/>
              </w:rPr>
              <w:t> </w:t>
            </w:r>
            <w:r>
              <w:rPr/>
              <w:t>protection</w:t>
            </w:r>
            <w:r>
              <w:rPr>
                <w:spacing w:val="-3"/>
              </w:rPr>
              <w:t> </w:t>
            </w:r>
            <w:r>
              <w:rPr/>
              <w:t>impact</w:t>
            </w:r>
            <w:r>
              <w:rPr>
                <w:spacing w:val="-3"/>
              </w:rPr>
              <w:t> </w:t>
            </w:r>
            <w:r>
              <w:rPr/>
              <w:t>assessments</w:t>
            </w:r>
          </w:hyperlink>
          <w:r>
            <w:rPr/>
            <w:t> </w:t>
          </w:r>
          <w:hyperlink w:history="true" w:anchor="_bookmark12">
            <w:r>
              <w:rPr>
                <w:spacing w:val="-6"/>
              </w:rPr>
              <w:t>11</w:t>
            </w:r>
          </w:hyperlink>
        </w:p>
        <w:p>
          <w:pPr>
            <w:pStyle w:val="TOC2"/>
            <w:numPr>
              <w:ilvl w:val="0"/>
              <w:numId w:val="1"/>
            </w:numPr>
            <w:tabs>
              <w:tab w:pos="1151" w:val="left" w:leader="none"/>
              <w:tab w:pos="9255" w:val="right" w:leader="dot"/>
            </w:tabs>
            <w:spacing w:line="240" w:lineRule="auto" w:before="200" w:after="0"/>
            <w:ind w:left="1151" w:right="0" w:hanging="631"/>
            <w:jc w:val="left"/>
          </w:pPr>
          <w:hyperlink w:history="true" w:anchor="_bookmark13">
            <w:r>
              <w:rPr/>
              <w:t>Training</w:t>
            </w:r>
            <w:r>
              <w:rPr>
                <w:spacing w:val="-4"/>
              </w:rPr>
              <w:t> </w:t>
            </w:r>
            <w:r>
              <w:rPr>
                <w:spacing w:val="-2"/>
              </w:rPr>
              <w:t>requirements</w:t>
            </w:r>
            <w:r>
              <w:rPr/>
              <w:tab/>
            </w:r>
            <w:r>
              <w:rPr>
                <w:spacing w:val="-5"/>
              </w:rPr>
              <w:t>12</w:t>
            </w:r>
          </w:hyperlink>
        </w:p>
        <w:p>
          <w:pPr>
            <w:pStyle w:val="TOC2"/>
            <w:numPr>
              <w:ilvl w:val="0"/>
              <w:numId w:val="1"/>
            </w:numPr>
            <w:tabs>
              <w:tab w:pos="1151" w:val="left" w:leader="none"/>
              <w:tab w:pos="9255" w:val="right" w:leader="dot"/>
            </w:tabs>
            <w:spacing w:line="240" w:lineRule="auto" w:before="240" w:after="0"/>
            <w:ind w:left="1151" w:right="0" w:hanging="631"/>
            <w:jc w:val="left"/>
          </w:pPr>
          <w:hyperlink w:history="true" w:anchor="_bookmark14">
            <w:r>
              <w:rPr/>
              <w:t>Equality</w:t>
            </w:r>
            <w:r>
              <w:rPr>
                <w:spacing w:val="-4"/>
              </w:rPr>
              <w:t> </w:t>
            </w:r>
            <w:r>
              <w:rPr/>
              <w:t>Impact</w:t>
            </w:r>
            <w:r>
              <w:rPr>
                <w:spacing w:val="-4"/>
              </w:rPr>
              <w:t> </w:t>
            </w:r>
            <w:r>
              <w:rPr>
                <w:spacing w:val="-2"/>
              </w:rPr>
              <w:t>Assessment</w:t>
            </w:r>
            <w:r>
              <w:rPr/>
              <w:tab/>
            </w:r>
            <w:r>
              <w:rPr>
                <w:spacing w:val="-5"/>
              </w:rPr>
              <w:t>12</w:t>
            </w:r>
          </w:hyperlink>
        </w:p>
        <w:p>
          <w:pPr>
            <w:pStyle w:val="TOC2"/>
            <w:numPr>
              <w:ilvl w:val="0"/>
              <w:numId w:val="1"/>
            </w:numPr>
            <w:tabs>
              <w:tab w:pos="1151" w:val="left" w:leader="none"/>
              <w:tab w:pos="9255" w:val="right" w:leader="dot"/>
            </w:tabs>
            <w:spacing w:line="240" w:lineRule="auto" w:before="243" w:after="0"/>
            <w:ind w:left="1151" w:right="0" w:hanging="631"/>
            <w:jc w:val="left"/>
          </w:pPr>
          <w:hyperlink w:history="true" w:anchor="_bookmark15">
            <w:r>
              <w:rPr/>
              <w:t>Implementation</w:t>
            </w:r>
            <w:r>
              <w:rPr>
                <w:spacing w:val="-8"/>
              </w:rPr>
              <w:t> </w:t>
            </w:r>
            <w:r>
              <w:rPr/>
              <w:t>and</w:t>
            </w:r>
            <w:r>
              <w:rPr>
                <w:spacing w:val="-6"/>
              </w:rPr>
              <w:t> </w:t>
            </w:r>
            <w:r>
              <w:rPr/>
              <w:t>Monitoring</w:t>
            </w:r>
            <w:r>
              <w:rPr>
                <w:spacing w:val="-7"/>
              </w:rPr>
              <w:t> </w:t>
            </w:r>
            <w:r>
              <w:rPr/>
              <w:t>Compliance</w:t>
            </w:r>
            <w:r>
              <w:rPr>
                <w:spacing w:val="-6"/>
              </w:rPr>
              <w:t> </w:t>
            </w:r>
            <w:r>
              <w:rPr/>
              <w:t>and</w:t>
            </w:r>
            <w:r>
              <w:rPr>
                <w:spacing w:val="-6"/>
              </w:rPr>
              <w:t> </w:t>
            </w:r>
            <w:r>
              <w:rPr>
                <w:spacing w:val="-2"/>
              </w:rPr>
              <w:t>Effectiveness</w:t>
            </w:r>
            <w:r>
              <w:rPr/>
              <w:tab/>
            </w:r>
            <w:r>
              <w:rPr>
                <w:spacing w:val="-5"/>
              </w:rPr>
              <w:t>12</w:t>
            </w:r>
          </w:hyperlink>
        </w:p>
        <w:p>
          <w:pPr>
            <w:pStyle w:val="TOC2"/>
            <w:numPr>
              <w:ilvl w:val="0"/>
              <w:numId w:val="1"/>
            </w:numPr>
            <w:tabs>
              <w:tab w:pos="1151" w:val="left" w:leader="none"/>
              <w:tab w:pos="9255" w:val="right" w:leader="dot"/>
            </w:tabs>
            <w:spacing w:line="240" w:lineRule="auto" w:before="240" w:after="0"/>
            <w:ind w:left="1151" w:right="0" w:hanging="631"/>
            <w:jc w:val="left"/>
          </w:pPr>
          <w:hyperlink w:history="true" w:anchor="_bookmark16">
            <w:r>
              <w:rPr/>
              <w:t>Countering</w:t>
            </w:r>
            <w:r>
              <w:rPr>
                <w:spacing w:val="-4"/>
              </w:rPr>
              <w:t> </w:t>
            </w:r>
            <w:r>
              <w:rPr/>
              <w:t>Fraud,</w:t>
            </w:r>
            <w:r>
              <w:rPr>
                <w:spacing w:val="-4"/>
              </w:rPr>
              <w:t> </w:t>
            </w:r>
            <w:r>
              <w:rPr/>
              <w:t>Bribery</w:t>
            </w:r>
            <w:r>
              <w:rPr>
                <w:spacing w:val="-4"/>
              </w:rPr>
              <w:t> </w:t>
            </w:r>
            <w:r>
              <w:rPr/>
              <w:t>and</w:t>
            </w:r>
            <w:r>
              <w:rPr>
                <w:spacing w:val="-5"/>
              </w:rPr>
              <w:t> </w:t>
            </w:r>
            <w:r>
              <w:rPr>
                <w:spacing w:val="-2"/>
              </w:rPr>
              <w:t>Corruption</w:t>
            </w:r>
            <w:r>
              <w:rPr/>
              <w:tab/>
            </w:r>
            <w:r>
              <w:rPr>
                <w:spacing w:val="-5"/>
              </w:rPr>
              <w:t>12</w:t>
            </w:r>
          </w:hyperlink>
        </w:p>
        <w:p>
          <w:pPr>
            <w:pStyle w:val="TOC2"/>
            <w:numPr>
              <w:ilvl w:val="0"/>
              <w:numId w:val="1"/>
            </w:numPr>
            <w:tabs>
              <w:tab w:pos="1151" w:val="left" w:leader="none"/>
              <w:tab w:pos="9255" w:val="right" w:leader="dot"/>
            </w:tabs>
            <w:spacing w:line="240" w:lineRule="auto" w:before="243" w:after="0"/>
            <w:ind w:left="1151" w:right="0" w:hanging="631"/>
            <w:jc w:val="left"/>
          </w:pPr>
          <w:hyperlink w:history="true" w:anchor="_bookmark17">
            <w:r>
              <w:rPr/>
              <w:t>References,</w:t>
            </w:r>
            <w:r>
              <w:rPr>
                <w:spacing w:val="-7"/>
              </w:rPr>
              <w:t> </w:t>
            </w:r>
            <w:r>
              <w:rPr/>
              <w:t>acknowledgements</w:t>
            </w:r>
            <w:r>
              <w:rPr>
                <w:spacing w:val="-7"/>
              </w:rPr>
              <w:t> </w:t>
            </w:r>
            <w:r>
              <w:rPr/>
              <w:t>and</w:t>
            </w:r>
            <w:r>
              <w:rPr>
                <w:spacing w:val="-9"/>
              </w:rPr>
              <w:t> </w:t>
            </w:r>
            <w:r>
              <w:rPr/>
              <w:t>associated</w:t>
            </w:r>
            <w:r>
              <w:rPr>
                <w:spacing w:val="-8"/>
              </w:rPr>
              <w:t> </w:t>
            </w:r>
            <w:r>
              <w:rPr>
                <w:spacing w:val="-2"/>
              </w:rPr>
              <w:t>documents</w:t>
            </w:r>
            <w:r>
              <w:rPr/>
              <w:tab/>
            </w:r>
            <w:r>
              <w:rPr>
                <w:spacing w:val="-5"/>
              </w:rPr>
              <w:t>13</w:t>
            </w:r>
          </w:hyperlink>
        </w:p>
        <w:p>
          <w:pPr>
            <w:pStyle w:val="TOC2"/>
            <w:numPr>
              <w:ilvl w:val="0"/>
              <w:numId w:val="1"/>
            </w:numPr>
            <w:tabs>
              <w:tab w:pos="1151" w:val="left" w:leader="none"/>
              <w:tab w:pos="9255" w:val="right" w:leader="dot"/>
            </w:tabs>
            <w:spacing w:line="240" w:lineRule="auto" w:before="240" w:after="0"/>
            <w:ind w:left="1151" w:right="0" w:hanging="631"/>
            <w:jc w:val="left"/>
          </w:pPr>
          <w:hyperlink w:history="true" w:anchor="_bookmark18">
            <w:r>
              <w:rPr>
                <w:spacing w:val="-2"/>
              </w:rPr>
              <w:t>Appendices</w:t>
            </w:r>
            <w:r>
              <w:rPr/>
              <w:tab/>
            </w:r>
            <w:r>
              <w:rPr>
                <w:spacing w:val="-5"/>
              </w:rPr>
              <w:t>13</w:t>
            </w:r>
          </w:hyperlink>
        </w:p>
        <w:p>
          <w:pPr>
            <w:pStyle w:val="TOC3"/>
            <w:numPr>
              <w:ilvl w:val="1"/>
              <w:numId w:val="1"/>
            </w:numPr>
            <w:tabs>
              <w:tab w:pos="1777" w:val="left" w:leader="none"/>
              <w:tab w:pos="9255" w:val="right" w:leader="dot"/>
            </w:tabs>
            <w:spacing w:line="240" w:lineRule="auto" w:before="242" w:after="0"/>
            <w:ind w:left="1777" w:right="0" w:hanging="626"/>
            <w:jc w:val="left"/>
          </w:pPr>
          <w:hyperlink w:history="true" w:anchor="_bookmark19">
            <w:r>
              <w:rPr/>
              <w:t>Equality</w:t>
            </w:r>
            <w:r>
              <w:rPr>
                <w:spacing w:val="-4"/>
              </w:rPr>
              <w:t> </w:t>
            </w:r>
            <w:r>
              <w:rPr/>
              <w:t>Impact</w:t>
            </w:r>
            <w:r>
              <w:rPr>
                <w:spacing w:val="-4"/>
              </w:rPr>
              <w:t> </w:t>
            </w:r>
            <w:r>
              <w:rPr>
                <w:spacing w:val="-2"/>
              </w:rPr>
              <w:t>Assessment</w:t>
            </w:r>
            <w:r>
              <w:rPr/>
              <w:tab/>
            </w:r>
            <w:r>
              <w:rPr>
                <w:spacing w:val="-5"/>
              </w:rPr>
              <w:t>13</w:t>
            </w:r>
          </w:hyperlink>
        </w:p>
        <w:p>
          <w:pPr>
            <w:pStyle w:val="TOC3"/>
            <w:numPr>
              <w:ilvl w:val="1"/>
              <w:numId w:val="1"/>
            </w:numPr>
            <w:tabs>
              <w:tab w:pos="1777" w:val="left" w:leader="none"/>
              <w:tab w:pos="9255" w:val="right" w:leader="dot"/>
            </w:tabs>
            <w:spacing w:line="240" w:lineRule="auto" w:before="243" w:after="0"/>
            <w:ind w:left="1777" w:right="0" w:hanging="626"/>
            <w:jc w:val="left"/>
          </w:pPr>
          <w:hyperlink w:history="true" w:anchor="_bookmark20">
            <w:r>
              <w:rPr/>
              <w:t>Implementation</w:t>
            </w:r>
            <w:r>
              <w:rPr>
                <w:spacing w:val="-11"/>
              </w:rPr>
              <w:t> </w:t>
            </w:r>
            <w:r>
              <w:rPr>
                <w:spacing w:val="-4"/>
              </w:rPr>
              <w:t>Plan</w:t>
            </w:r>
            <w:r>
              <w:rPr/>
              <w:tab/>
            </w:r>
            <w:r>
              <w:rPr>
                <w:spacing w:val="-5"/>
              </w:rPr>
              <w:t>14</w:t>
            </w:r>
          </w:hyperlink>
        </w:p>
      </w:sdtContent>
    </w:sdt>
    <w:p>
      <w:pPr>
        <w:spacing w:after="0" w:line="240" w:lineRule="auto"/>
        <w:jc w:val="left"/>
        <w:sectPr>
          <w:pgSz w:w="11910" w:h="16840"/>
          <w:pgMar w:header="570" w:footer="1032" w:top="1200" w:bottom="1220" w:left="560" w:right="680"/>
        </w:sectPr>
      </w:pPr>
    </w:p>
    <w:p>
      <w:pPr>
        <w:pStyle w:val="Heading1"/>
        <w:jc w:val="both"/>
      </w:pPr>
      <w:bookmarkStart w:name="_bookmark3" w:id="4"/>
      <w:bookmarkEnd w:id="4"/>
      <w:r>
        <w:rPr/>
      </w:r>
      <w:r>
        <w:rPr>
          <w:color w:val="1C1F62"/>
        </w:rPr>
        <w:t>Information</w:t>
      </w:r>
      <w:r>
        <w:rPr>
          <w:color w:val="1C1F62"/>
          <w:spacing w:val="-4"/>
        </w:rPr>
        <w:t> </w:t>
      </w:r>
      <w:r>
        <w:rPr>
          <w:color w:val="1C1F62"/>
        </w:rPr>
        <w:t>Governance</w:t>
      </w:r>
      <w:r>
        <w:rPr>
          <w:color w:val="1C1F62"/>
          <w:spacing w:val="-4"/>
        </w:rPr>
        <w:t> </w:t>
      </w:r>
      <w:r>
        <w:rPr>
          <w:color w:val="1C1F62"/>
          <w:spacing w:val="-2"/>
        </w:rPr>
        <w:t>Policy</w:t>
      </w:r>
    </w:p>
    <w:p>
      <w:pPr>
        <w:pStyle w:val="Heading2"/>
        <w:numPr>
          <w:ilvl w:val="0"/>
          <w:numId w:val="2"/>
        </w:numPr>
        <w:tabs>
          <w:tab w:pos="880" w:val="left" w:leader="none"/>
        </w:tabs>
        <w:spacing w:line="240" w:lineRule="auto" w:before="294" w:after="0"/>
        <w:ind w:left="880" w:right="0" w:hanging="360"/>
        <w:jc w:val="left"/>
      </w:pPr>
      <w:bookmarkStart w:name="_bookmark4" w:id="5"/>
      <w:bookmarkEnd w:id="5"/>
      <w:r>
        <w:rPr/>
      </w:r>
      <w:r>
        <w:rPr>
          <w:color w:val="1C1F62"/>
          <w:spacing w:val="-2"/>
        </w:rPr>
        <w:t>Introduction</w:t>
      </w:r>
    </w:p>
    <w:p>
      <w:pPr>
        <w:pStyle w:val="BodyText"/>
        <w:spacing w:before="114"/>
        <w:rPr>
          <w:rFonts w:ascii="Arial Black"/>
          <w:sz w:val="28"/>
        </w:rPr>
      </w:pPr>
    </w:p>
    <w:p>
      <w:pPr>
        <w:pStyle w:val="BodyText"/>
        <w:spacing w:line="259" w:lineRule="auto" w:before="1"/>
        <w:ind w:left="520" w:right="394"/>
        <w:jc w:val="both"/>
      </w:pPr>
      <w:r>
        <w:rPr/>
        <w:t>The</w:t>
      </w:r>
      <w:r>
        <w:rPr>
          <w:spacing w:val="-9"/>
        </w:rPr>
        <w:t> </w:t>
      </w:r>
      <w:r>
        <w:rPr/>
        <w:t>role</w:t>
      </w:r>
      <w:r>
        <w:rPr>
          <w:spacing w:val="-12"/>
        </w:rPr>
        <w:t> </w:t>
      </w:r>
      <w:r>
        <w:rPr/>
        <w:t>of</w:t>
      </w:r>
      <w:r>
        <w:rPr>
          <w:spacing w:val="-12"/>
        </w:rPr>
        <w:t> </w:t>
      </w:r>
      <w:r>
        <w:rPr/>
        <w:t>the</w:t>
      </w:r>
      <w:r>
        <w:rPr>
          <w:spacing w:val="-10"/>
        </w:rPr>
        <w:t> </w:t>
      </w:r>
      <w:r>
        <w:rPr/>
        <w:t>ICB</w:t>
      </w:r>
      <w:r>
        <w:rPr>
          <w:spacing w:val="-12"/>
        </w:rPr>
        <w:t> </w:t>
      </w:r>
      <w:r>
        <w:rPr/>
        <w:t>is</w:t>
      </w:r>
      <w:r>
        <w:rPr>
          <w:spacing w:val="-11"/>
        </w:rPr>
        <w:t> </w:t>
      </w:r>
      <w:r>
        <w:rPr/>
        <w:t>to</w:t>
      </w:r>
      <w:r>
        <w:rPr>
          <w:spacing w:val="-9"/>
        </w:rPr>
        <w:t> </w:t>
      </w:r>
      <w:r>
        <w:rPr/>
        <w:t>support</w:t>
      </w:r>
      <w:r>
        <w:rPr>
          <w:spacing w:val="-10"/>
        </w:rPr>
        <w:t> </w:t>
      </w:r>
      <w:r>
        <w:rPr/>
        <w:t>the</w:t>
      </w:r>
      <w:r>
        <w:rPr>
          <w:spacing w:val="-12"/>
        </w:rPr>
        <w:t> </w:t>
      </w:r>
      <w:r>
        <w:rPr/>
        <w:t>commissioning</w:t>
      </w:r>
      <w:r>
        <w:rPr>
          <w:spacing w:val="-11"/>
        </w:rPr>
        <w:t> </w:t>
      </w:r>
      <w:r>
        <w:rPr/>
        <w:t>of</w:t>
      </w:r>
      <w:r>
        <w:rPr>
          <w:spacing w:val="-12"/>
        </w:rPr>
        <w:t> </w:t>
      </w:r>
      <w:r>
        <w:rPr/>
        <w:t>healthcare,</w:t>
      </w:r>
      <w:r>
        <w:rPr>
          <w:spacing w:val="-12"/>
        </w:rPr>
        <w:t> </w:t>
      </w:r>
      <w:r>
        <w:rPr/>
        <w:t>both</w:t>
      </w:r>
      <w:r>
        <w:rPr>
          <w:spacing w:val="-11"/>
        </w:rPr>
        <w:t> </w:t>
      </w:r>
      <w:r>
        <w:rPr/>
        <w:t>directly</w:t>
      </w:r>
      <w:r>
        <w:rPr>
          <w:spacing w:val="-10"/>
        </w:rPr>
        <w:t> </w:t>
      </w:r>
      <w:r>
        <w:rPr/>
        <w:t>and</w:t>
      </w:r>
      <w:r>
        <w:rPr>
          <w:spacing w:val="-12"/>
        </w:rPr>
        <w:t> </w:t>
      </w:r>
      <w:r>
        <w:rPr/>
        <w:t>indirectly, so</w:t>
      </w:r>
      <w:r>
        <w:rPr>
          <w:spacing w:val="-4"/>
        </w:rPr>
        <w:t> </w:t>
      </w:r>
      <w:r>
        <w:rPr/>
        <w:t>that</w:t>
      </w:r>
      <w:r>
        <w:rPr>
          <w:spacing w:val="-4"/>
        </w:rPr>
        <w:t> </w:t>
      </w:r>
      <w:r>
        <w:rPr/>
        <w:t>valuable</w:t>
      </w:r>
      <w:r>
        <w:rPr>
          <w:spacing w:val="-6"/>
        </w:rPr>
        <w:t> </w:t>
      </w:r>
      <w:r>
        <w:rPr/>
        <w:t>public</w:t>
      </w:r>
      <w:r>
        <w:rPr>
          <w:spacing w:val="-4"/>
        </w:rPr>
        <w:t> </w:t>
      </w:r>
      <w:r>
        <w:rPr/>
        <w:t>resources</w:t>
      </w:r>
      <w:r>
        <w:rPr>
          <w:spacing w:val="-4"/>
        </w:rPr>
        <w:t> </w:t>
      </w:r>
      <w:r>
        <w:rPr/>
        <w:t>secure</w:t>
      </w:r>
      <w:r>
        <w:rPr>
          <w:spacing w:val="-4"/>
        </w:rPr>
        <w:t> </w:t>
      </w:r>
      <w:r>
        <w:rPr/>
        <w:t>the</w:t>
      </w:r>
      <w:r>
        <w:rPr>
          <w:spacing w:val="-6"/>
        </w:rPr>
        <w:t> </w:t>
      </w:r>
      <w:r>
        <w:rPr/>
        <w:t>best</w:t>
      </w:r>
      <w:r>
        <w:rPr>
          <w:spacing w:val="-4"/>
        </w:rPr>
        <w:t> </w:t>
      </w:r>
      <w:r>
        <w:rPr/>
        <w:t>possible</w:t>
      </w:r>
      <w:r>
        <w:rPr>
          <w:spacing w:val="-4"/>
        </w:rPr>
        <w:t> </w:t>
      </w:r>
      <w:r>
        <w:rPr/>
        <w:t>outcomes</w:t>
      </w:r>
      <w:r>
        <w:rPr>
          <w:spacing w:val="-9"/>
        </w:rPr>
        <w:t> </w:t>
      </w:r>
      <w:r>
        <w:rPr/>
        <w:t>for</w:t>
      </w:r>
      <w:r>
        <w:rPr>
          <w:spacing w:val="-5"/>
        </w:rPr>
        <w:t> </w:t>
      </w:r>
      <w:r>
        <w:rPr/>
        <w:t>patients.</w:t>
      </w:r>
      <w:r>
        <w:rPr>
          <w:spacing w:val="-6"/>
        </w:rPr>
        <w:t> </w:t>
      </w:r>
      <w:r>
        <w:rPr/>
        <w:t>This</w:t>
      </w:r>
      <w:r>
        <w:rPr>
          <w:spacing w:val="-5"/>
        </w:rPr>
        <w:t> </w:t>
      </w:r>
      <w:r>
        <w:rPr/>
        <w:t>policy will</w:t>
      </w:r>
      <w:r>
        <w:rPr>
          <w:spacing w:val="-11"/>
        </w:rPr>
        <w:t> </w:t>
      </w:r>
      <w:r>
        <w:rPr/>
        <w:t>support</w:t>
      </w:r>
      <w:r>
        <w:rPr>
          <w:spacing w:val="-13"/>
        </w:rPr>
        <w:t> </w:t>
      </w:r>
      <w:r>
        <w:rPr/>
        <w:t>the</w:t>
      </w:r>
      <w:r>
        <w:rPr>
          <w:spacing w:val="-12"/>
        </w:rPr>
        <w:t> </w:t>
      </w:r>
      <w:r>
        <w:rPr/>
        <w:t>ICB’s</w:t>
      </w:r>
      <w:r>
        <w:rPr>
          <w:spacing w:val="-13"/>
        </w:rPr>
        <w:t> </w:t>
      </w:r>
      <w:r>
        <w:rPr/>
        <w:t>compliance</w:t>
      </w:r>
      <w:r>
        <w:rPr>
          <w:spacing w:val="-12"/>
        </w:rPr>
        <w:t> </w:t>
      </w:r>
      <w:r>
        <w:rPr/>
        <w:t>with</w:t>
      </w:r>
      <w:r>
        <w:rPr>
          <w:spacing w:val="-11"/>
        </w:rPr>
        <w:t> </w:t>
      </w:r>
      <w:r>
        <w:rPr/>
        <w:t>data</w:t>
      </w:r>
      <w:r>
        <w:rPr>
          <w:spacing w:val="-9"/>
        </w:rPr>
        <w:t> </w:t>
      </w:r>
      <w:r>
        <w:rPr/>
        <w:t>protection</w:t>
      </w:r>
      <w:r>
        <w:rPr>
          <w:spacing w:val="-9"/>
        </w:rPr>
        <w:t> </w:t>
      </w:r>
      <w:r>
        <w:rPr/>
        <w:t>legislation</w:t>
      </w:r>
      <w:r>
        <w:rPr>
          <w:spacing w:val="-12"/>
        </w:rPr>
        <w:t> </w:t>
      </w:r>
      <w:r>
        <w:rPr/>
        <w:t>and</w:t>
      </w:r>
      <w:r>
        <w:rPr>
          <w:spacing w:val="-4"/>
        </w:rPr>
        <w:t> </w:t>
      </w:r>
      <w:r>
        <w:rPr/>
        <w:t>will</w:t>
      </w:r>
      <w:r>
        <w:rPr>
          <w:spacing w:val="-11"/>
        </w:rPr>
        <w:t> </w:t>
      </w:r>
      <w:r>
        <w:rPr/>
        <w:t>help</w:t>
      </w:r>
      <w:r>
        <w:rPr>
          <w:spacing w:val="-12"/>
        </w:rPr>
        <w:t> </w:t>
      </w:r>
      <w:r>
        <w:rPr/>
        <w:t>ensure</w:t>
      </w:r>
      <w:r>
        <w:rPr>
          <w:spacing w:val="-9"/>
        </w:rPr>
        <w:t> </w:t>
      </w:r>
      <w:r>
        <w:rPr/>
        <w:t>that</w:t>
      </w:r>
      <w:r>
        <w:rPr>
          <w:spacing w:val="-12"/>
        </w:rPr>
        <w:t> </w:t>
      </w:r>
      <w:r>
        <w:rPr/>
        <w:t>the people</w:t>
      </w:r>
      <w:r>
        <w:rPr>
          <w:spacing w:val="-5"/>
        </w:rPr>
        <w:t> </w:t>
      </w:r>
      <w:r>
        <w:rPr/>
        <w:t>who</w:t>
      </w:r>
      <w:r>
        <w:rPr>
          <w:spacing w:val="-7"/>
        </w:rPr>
        <w:t> </w:t>
      </w:r>
      <w:r>
        <w:rPr/>
        <w:t>work</w:t>
      </w:r>
      <w:r>
        <w:rPr>
          <w:spacing w:val="-6"/>
        </w:rPr>
        <w:t> </w:t>
      </w:r>
      <w:r>
        <w:rPr/>
        <w:t>for</w:t>
      </w:r>
      <w:r>
        <w:rPr>
          <w:spacing w:val="-6"/>
        </w:rPr>
        <w:t> </w:t>
      </w:r>
      <w:r>
        <w:rPr/>
        <w:t>the</w:t>
      </w:r>
      <w:r>
        <w:rPr>
          <w:spacing w:val="-2"/>
        </w:rPr>
        <w:t> </w:t>
      </w:r>
      <w:r>
        <w:rPr/>
        <w:t>ICB</w:t>
      </w:r>
      <w:r>
        <w:rPr>
          <w:spacing w:val="-7"/>
        </w:rPr>
        <w:t> </w:t>
      </w:r>
      <w:r>
        <w:rPr/>
        <w:t>understand</w:t>
      </w:r>
      <w:r>
        <w:rPr>
          <w:spacing w:val="-7"/>
        </w:rPr>
        <w:t> </w:t>
      </w:r>
      <w:r>
        <w:rPr/>
        <w:t>how</w:t>
      </w:r>
      <w:r>
        <w:rPr>
          <w:spacing w:val="-11"/>
        </w:rPr>
        <w:t> </w:t>
      </w:r>
      <w:r>
        <w:rPr/>
        <w:t>to</w:t>
      </w:r>
      <w:r>
        <w:rPr>
          <w:spacing w:val="-4"/>
        </w:rPr>
        <w:t> </w:t>
      </w:r>
      <w:r>
        <w:rPr/>
        <w:t>look</w:t>
      </w:r>
      <w:r>
        <w:rPr>
          <w:spacing w:val="-8"/>
        </w:rPr>
        <w:t> </w:t>
      </w:r>
      <w:r>
        <w:rPr/>
        <w:t>after</w:t>
      </w:r>
      <w:r>
        <w:rPr>
          <w:spacing w:val="-6"/>
        </w:rPr>
        <w:t> </w:t>
      </w:r>
      <w:r>
        <w:rPr/>
        <w:t>the</w:t>
      </w:r>
      <w:r>
        <w:rPr>
          <w:spacing w:val="-7"/>
        </w:rPr>
        <w:t> </w:t>
      </w:r>
      <w:r>
        <w:rPr/>
        <w:t>information</w:t>
      </w:r>
      <w:r>
        <w:rPr>
          <w:spacing w:val="-7"/>
        </w:rPr>
        <w:t> </w:t>
      </w:r>
      <w:r>
        <w:rPr/>
        <w:t>they</w:t>
      </w:r>
      <w:r>
        <w:rPr>
          <w:spacing w:val="-8"/>
        </w:rPr>
        <w:t> </w:t>
      </w:r>
      <w:r>
        <w:rPr/>
        <w:t>need</w:t>
      </w:r>
      <w:r>
        <w:rPr>
          <w:spacing w:val="-2"/>
        </w:rPr>
        <w:t> </w:t>
      </w:r>
      <w:r>
        <w:rPr/>
        <w:t>and</w:t>
      </w:r>
      <w:r>
        <w:rPr>
          <w:spacing w:val="-7"/>
        </w:rPr>
        <w:t> </w:t>
      </w:r>
      <w:r>
        <w:rPr/>
        <w:t>use to do their jobs, to protect this information on behalf of patients and to support legal </w:t>
      </w:r>
      <w:r>
        <w:rPr>
          <w:spacing w:val="-2"/>
        </w:rPr>
        <w:t>compliance.</w:t>
      </w:r>
    </w:p>
    <w:p>
      <w:pPr>
        <w:pStyle w:val="Heading3"/>
        <w:numPr>
          <w:ilvl w:val="1"/>
          <w:numId w:val="2"/>
        </w:numPr>
        <w:tabs>
          <w:tab w:pos="1149" w:val="left" w:leader="none"/>
        </w:tabs>
        <w:spacing w:line="240" w:lineRule="auto" w:before="157" w:after="0"/>
        <w:ind w:left="1149" w:right="0" w:hanging="629"/>
        <w:jc w:val="left"/>
      </w:pPr>
      <w:bookmarkStart w:name="_bookmark5" w:id="6"/>
      <w:bookmarkEnd w:id="6"/>
      <w:r>
        <w:rPr/>
      </w:r>
      <w:r>
        <w:rPr>
          <w:color w:val="1C1F62"/>
        </w:rPr>
        <w:t>BNSSG</w:t>
      </w:r>
      <w:r>
        <w:rPr>
          <w:color w:val="1C1F62"/>
          <w:spacing w:val="-7"/>
        </w:rPr>
        <w:t> </w:t>
      </w:r>
      <w:r>
        <w:rPr>
          <w:color w:val="1C1F62"/>
        </w:rPr>
        <w:t>ICB</w:t>
      </w:r>
      <w:r>
        <w:rPr>
          <w:color w:val="1C1F62"/>
          <w:spacing w:val="-9"/>
        </w:rPr>
        <w:t> </w:t>
      </w:r>
      <w:r>
        <w:rPr>
          <w:color w:val="1C1F62"/>
          <w:spacing w:val="-2"/>
        </w:rPr>
        <w:t>Values</w:t>
      </w:r>
    </w:p>
    <w:p>
      <w:pPr>
        <w:pStyle w:val="BodyText"/>
        <w:spacing w:line="259" w:lineRule="auto" w:before="31"/>
        <w:ind w:left="520" w:right="398"/>
        <w:jc w:val="both"/>
      </w:pPr>
      <w:r>
        <w:rPr/>
        <w:t>The</w:t>
      </w:r>
      <w:r>
        <w:rPr>
          <w:spacing w:val="-17"/>
        </w:rPr>
        <w:t> </w:t>
      </w:r>
      <w:r>
        <w:rPr/>
        <w:t>Information</w:t>
      </w:r>
      <w:r>
        <w:rPr>
          <w:spacing w:val="-17"/>
        </w:rPr>
        <w:t> </w:t>
      </w:r>
      <w:r>
        <w:rPr/>
        <w:t>Governance</w:t>
      </w:r>
      <w:r>
        <w:rPr>
          <w:spacing w:val="-16"/>
        </w:rPr>
        <w:t> </w:t>
      </w:r>
      <w:r>
        <w:rPr/>
        <w:t>Policy</w:t>
      </w:r>
      <w:r>
        <w:rPr>
          <w:spacing w:val="-17"/>
        </w:rPr>
        <w:t> </w:t>
      </w:r>
      <w:r>
        <w:rPr/>
        <w:t>sets</w:t>
      </w:r>
      <w:r>
        <w:rPr>
          <w:spacing w:val="-17"/>
        </w:rPr>
        <w:t> </w:t>
      </w:r>
      <w:r>
        <w:rPr/>
        <w:t>out</w:t>
      </w:r>
      <w:r>
        <w:rPr>
          <w:spacing w:val="-17"/>
        </w:rPr>
        <w:t> </w:t>
      </w:r>
      <w:r>
        <w:rPr/>
        <w:t>the</w:t>
      </w:r>
      <w:r>
        <w:rPr>
          <w:spacing w:val="-16"/>
        </w:rPr>
        <w:t> </w:t>
      </w:r>
      <w:r>
        <w:rPr/>
        <w:t>ICBs</w:t>
      </w:r>
      <w:r>
        <w:rPr>
          <w:spacing w:val="-17"/>
        </w:rPr>
        <w:t> </w:t>
      </w:r>
      <w:r>
        <w:rPr/>
        <w:t>position</w:t>
      </w:r>
      <w:r>
        <w:rPr>
          <w:spacing w:val="-17"/>
        </w:rPr>
        <w:t> </w:t>
      </w:r>
      <w:r>
        <w:rPr/>
        <w:t>regarding</w:t>
      </w:r>
      <w:r>
        <w:rPr>
          <w:spacing w:val="-16"/>
        </w:rPr>
        <w:t> </w:t>
      </w:r>
      <w:r>
        <w:rPr/>
        <w:t>ensuring</w:t>
      </w:r>
      <w:r>
        <w:rPr>
          <w:spacing w:val="-17"/>
        </w:rPr>
        <w:t> </w:t>
      </w:r>
      <w:r>
        <w:rPr/>
        <w:t>compliance with</w:t>
      </w:r>
      <w:r>
        <w:rPr>
          <w:spacing w:val="-7"/>
        </w:rPr>
        <w:t> </w:t>
      </w:r>
      <w:r>
        <w:rPr/>
        <w:t>data</w:t>
      </w:r>
      <w:r>
        <w:rPr>
          <w:spacing w:val="-7"/>
        </w:rPr>
        <w:t> </w:t>
      </w:r>
      <w:r>
        <w:rPr/>
        <w:t>protection</w:t>
      </w:r>
      <w:r>
        <w:rPr>
          <w:spacing w:val="-7"/>
        </w:rPr>
        <w:t> </w:t>
      </w:r>
      <w:r>
        <w:rPr/>
        <w:t>legislation</w:t>
      </w:r>
      <w:r>
        <w:rPr>
          <w:spacing w:val="-7"/>
        </w:rPr>
        <w:t> </w:t>
      </w:r>
      <w:r>
        <w:rPr/>
        <w:t>this</w:t>
      </w:r>
      <w:r>
        <w:rPr>
          <w:spacing w:val="-8"/>
        </w:rPr>
        <w:t> </w:t>
      </w:r>
      <w:r>
        <w:rPr/>
        <w:t>demonstrates</w:t>
      </w:r>
      <w:r>
        <w:rPr>
          <w:spacing w:val="-8"/>
        </w:rPr>
        <w:t> </w:t>
      </w:r>
      <w:r>
        <w:rPr/>
        <w:t>the</w:t>
      </w:r>
      <w:r>
        <w:rPr>
          <w:spacing w:val="-9"/>
        </w:rPr>
        <w:t> </w:t>
      </w:r>
      <w:r>
        <w:rPr/>
        <w:t>ICB</w:t>
      </w:r>
      <w:r>
        <w:rPr>
          <w:spacing w:val="-7"/>
        </w:rPr>
        <w:t> </w:t>
      </w:r>
      <w:r>
        <w:rPr/>
        <w:t>striving</w:t>
      </w:r>
      <w:r>
        <w:rPr>
          <w:spacing w:val="-7"/>
        </w:rPr>
        <w:t> </w:t>
      </w:r>
      <w:r>
        <w:rPr/>
        <w:t>for</w:t>
      </w:r>
      <w:r>
        <w:rPr>
          <w:spacing w:val="-8"/>
        </w:rPr>
        <w:t> </w:t>
      </w:r>
      <w:r>
        <w:rPr/>
        <w:t>excellence</w:t>
      </w:r>
      <w:r>
        <w:rPr>
          <w:spacing w:val="-9"/>
        </w:rPr>
        <w:t> </w:t>
      </w:r>
      <w:r>
        <w:rPr/>
        <w:t>and</w:t>
      </w:r>
      <w:r>
        <w:rPr>
          <w:spacing w:val="-7"/>
        </w:rPr>
        <w:t> </w:t>
      </w:r>
      <w:r>
        <w:rPr/>
        <w:t>to</w:t>
      </w:r>
      <w:r>
        <w:rPr>
          <w:spacing w:val="-9"/>
        </w:rPr>
        <w:t> </w:t>
      </w:r>
      <w:r>
        <w:rPr/>
        <w:t>doing the right thing with regard to how confidential information is managed.</w:t>
      </w:r>
    </w:p>
    <w:p>
      <w:pPr>
        <w:pStyle w:val="Heading2"/>
        <w:numPr>
          <w:ilvl w:val="0"/>
          <w:numId w:val="2"/>
        </w:numPr>
        <w:tabs>
          <w:tab w:pos="880" w:val="left" w:leader="none"/>
        </w:tabs>
        <w:spacing w:line="240" w:lineRule="auto" w:before="239" w:after="0"/>
        <w:ind w:left="880" w:right="0" w:hanging="360"/>
        <w:jc w:val="left"/>
      </w:pPr>
      <w:bookmarkStart w:name="_bookmark6" w:id="7"/>
      <w:bookmarkEnd w:id="7"/>
      <w:r>
        <w:rPr/>
      </w:r>
      <w:r>
        <w:rPr>
          <w:color w:val="1C1F62"/>
        </w:rPr>
        <w:t>Purpose</w:t>
      </w:r>
      <w:r>
        <w:rPr>
          <w:color w:val="1C1F62"/>
          <w:spacing w:val="-5"/>
        </w:rPr>
        <w:t> </w:t>
      </w:r>
      <w:r>
        <w:rPr>
          <w:color w:val="1C1F62"/>
        </w:rPr>
        <w:t>and</w:t>
      </w:r>
      <w:r>
        <w:rPr>
          <w:color w:val="1C1F62"/>
          <w:spacing w:val="-4"/>
        </w:rPr>
        <w:t> </w:t>
      </w:r>
      <w:r>
        <w:rPr>
          <w:color w:val="1C1F62"/>
          <w:spacing w:val="-2"/>
        </w:rPr>
        <w:t>scope</w:t>
      </w:r>
    </w:p>
    <w:p>
      <w:pPr>
        <w:pStyle w:val="BodyText"/>
        <w:spacing w:before="32"/>
        <w:ind w:left="520" w:right="403"/>
        <w:jc w:val="both"/>
      </w:pPr>
      <w:r>
        <w:rPr/>
        <w:t>This</w:t>
      </w:r>
      <w:r>
        <w:rPr>
          <w:spacing w:val="-12"/>
        </w:rPr>
        <w:t> </w:t>
      </w:r>
      <w:r>
        <w:rPr/>
        <w:t>document</w:t>
      </w:r>
      <w:r>
        <w:rPr>
          <w:spacing w:val="-11"/>
        </w:rPr>
        <w:t> </w:t>
      </w:r>
      <w:r>
        <w:rPr/>
        <w:t>is</w:t>
      </w:r>
      <w:r>
        <w:rPr>
          <w:spacing w:val="-12"/>
        </w:rPr>
        <w:t> </w:t>
      </w:r>
      <w:r>
        <w:rPr/>
        <w:t>derived</w:t>
      </w:r>
      <w:r>
        <w:rPr>
          <w:spacing w:val="-10"/>
        </w:rPr>
        <w:t> </w:t>
      </w:r>
      <w:r>
        <w:rPr/>
        <w:t>from</w:t>
      </w:r>
      <w:r>
        <w:rPr>
          <w:spacing w:val="-10"/>
        </w:rPr>
        <w:t> </w:t>
      </w:r>
      <w:r>
        <w:rPr/>
        <w:t>and</w:t>
      </w:r>
      <w:r>
        <w:rPr>
          <w:spacing w:val="-10"/>
        </w:rPr>
        <w:t> </w:t>
      </w:r>
      <w:r>
        <w:rPr/>
        <w:t>supports</w:t>
      </w:r>
      <w:r>
        <w:rPr>
          <w:spacing w:val="-11"/>
        </w:rPr>
        <w:t> </w:t>
      </w:r>
      <w:r>
        <w:rPr/>
        <w:t>the</w:t>
      </w:r>
      <w:r>
        <w:rPr>
          <w:spacing w:val="-10"/>
        </w:rPr>
        <w:t> </w:t>
      </w:r>
      <w:r>
        <w:rPr/>
        <w:t>Information</w:t>
      </w:r>
      <w:r>
        <w:rPr>
          <w:spacing w:val="-10"/>
        </w:rPr>
        <w:t> </w:t>
      </w:r>
      <w:r>
        <w:rPr/>
        <w:t>Governance</w:t>
      </w:r>
      <w:r>
        <w:rPr>
          <w:spacing w:val="-13"/>
        </w:rPr>
        <w:t> </w:t>
      </w:r>
      <w:r>
        <w:rPr/>
        <w:t>Policy</w:t>
      </w:r>
      <w:r>
        <w:rPr>
          <w:spacing w:val="-11"/>
        </w:rPr>
        <w:t> </w:t>
      </w:r>
      <w:r>
        <w:rPr/>
        <w:t>published</w:t>
      </w:r>
      <w:r>
        <w:rPr>
          <w:spacing w:val="-13"/>
        </w:rPr>
        <w:t> </w:t>
      </w:r>
      <w:r>
        <w:rPr/>
        <w:t>by NHS</w:t>
      </w:r>
      <w:r>
        <w:rPr>
          <w:spacing w:val="-6"/>
        </w:rPr>
        <w:t> </w:t>
      </w:r>
      <w:r>
        <w:rPr/>
        <w:t>England,</w:t>
      </w:r>
      <w:r>
        <w:rPr>
          <w:spacing w:val="-6"/>
        </w:rPr>
        <w:t> </w:t>
      </w:r>
      <w:r>
        <w:rPr/>
        <w:t>the</w:t>
      </w:r>
      <w:r>
        <w:rPr>
          <w:spacing w:val="-8"/>
        </w:rPr>
        <w:t> </w:t>
      </w:r>
      <w:r>
        <w:rPr/>
        <w:t>scope</w:t>
      </w:r>
      <w:r>
        <w:rPr>
          <w:spacing w:val="-8"/>
        </w:rPr>
        <w:t> </w:t>
      </w:r>
      <w:r>
        <w:rPr/>
        <w:t>of</w:t>
      </w:r>
      <w:r>
        <w:rPr>
          <w:spacing w:val="-8"/>
        </w:rPr>
        <w:t> </w:t>
      </w:r>
      <w:r>
        <w:rPr/>
        <w:t>which</w:t>
      </w:r>
      <w:r>
        <w:rPr>
          <w:spacing w:val="-6"/>
        </w:rPr>
        <w:t> </w:t>
      </w:r>
      <w:r>
        <w:rPr/>
        <w:t>includes</w:t>
      </w:r>
      <w:r>
        <w:rPr>
          <w:spacing w:val="-9"/>
        </w:rPr>
        <w:t> </w:t>
      </w:r>
      <w:r>
        <w:rPr/>
        <w:t>those</w:t>
      </w:r>
      <w:r>
        <w:rPr>
          <w:spacing w:val="-6"/>
        </w:rPr>
        <w:t> </w:t>
      </w:r>
      <w:r>
        <w:rPr/>
        <w:t>working</w:t>
      </w:r>
      <w:r>
        <w:rPr>
          <w:spacing w:val="-8"/>
        </w:rPr>
        <w:t> </w:t>
      </w:r>
      <w:r>
        <w:rPr/>
        <w:t>for</w:t>
      </w:r>
      <w:r>
        <w:rPr>
          <w:spacing w:val="-7"/>
        </w:rPr>
        <w:t> </w:t>
      </w:r>
      <w:r>
        <w:rPr/>
        <w:t>Integrated</w:t>
      </w:r>
      <w:r>
        <w:rPr>
          <w:spacing w:val="-8"/>
        </w:rPr>
        <w:t> </w:t>
      </w:r>
      <w:r>
        <w:rPr/>
        <w:t>Care</w:t>
      </w:r>
      <w:r>
        <w:rPr>
          <w:spacing w:val="-8"/>
        </w:rPr>
        <w:t> </w:t>
      </w:r>
      <w:r>
        <w:rPr/>
        <w:t>Boards</w:t>
      </w:r>
      <w:r>
        <w:rPr>
          <w:spacing w:val="-6"/>
        </w:rPr>
        <w:t> </w:t>
      </w:r>
      <w:r>
        <w:rPr/>
        <w:t>(ICBs).</w:t>
      </w:r>
    </w:p>
    <w:p>
      <w:pPr>
        <w:pStyle w:val="BodyText"/>
      </w:pPr>
    </w:p>
    <w:p>
      <w:pPr>
        <w:pStyle w:val="BodyText"/>
        <w:ind w:left="520" w:right="399"/>
        <w:jc w:val="both"/>
      </w:pPr>
      <w:r>
        <w:rPr/>
        <w:t>Information</w:t>
      </w:r>
      <w:r>
        <w:rPr>
          <w:spacing w:val="-11"/>
        </w:rPr>
        <w:t> </w:t>
      </w:r>
      <w:r>
        <w:rPr/>
        <w:t>is</w:t>
      </w:r>
      <w:r>
        <w:rPr>
          <w:spacing w:val="-12"/>
        </w:rPr>
        <w:t> </w:t>
      </w:r>
      <w:r>
        <w:rPr/>
        <w:t>a</w:t>
      </w:r>
      <w:r>
        <w:rPr>
          <w:spacing w:val="-11"/>
        </w:rPr>
        <w:t> </w:t>
      </w:r>
      <w:r>
        <w:rPr/>
        <w:t>vital</w:t>
      </w:r>
      <w:r>
        <w:rPr>
          <w:spacing w:val="-12"/>
        </w:rPr>
        <w:t> </w:t>
      </w:r>
      <w:r>
        <w:rPr/>
        <w:t>asset.</w:t>
      </w:r>
      <w:r>
        <w:rPr>
          <w:spacing w:val="-11"/>
        </w:rPr>
        <w:t> </w:t>
      </w:r>
      <w:r>
        <w:rPr/>
        <w:t>It</w:t>
      </w:r>
      <w:r>
        <w:rPr>
          <w:spacing w:val="-11"/>
        </w:rPr>
        <w:t> </w:t>
      </w:r>
      <w:r>
        <w:rPr/>
        <w:t>plays</w:t>
      </w:r>
      <w:r>
        <w:rPr>
          <w:spacing w:val="-11"/>
        </w:rPr>
        <w:t> </w:t>
      </w:r>
      <w:r>
        <w:rPr/>
        <w:t>a</w:t>
      </w:r>
      <w:r>
        <w:rPr>
          <w:spacing w:val="-11"/>
        </w:rPr>
        <w:t> </w:t>
      </w:r>
      <w:r>
        <w:rPr/>
        <w:t>key</w:t>
      </w:r>
      <w:r>
        <w:rPr>
          <w:spacing w:val="-12"/>
        </w:rPr>
        <w:t> </w:t>
      </w:r>
      <w:r>
        <w:rPr/>
        <w:t>part</w:t>
      </w:r>
      <w:r>
        <w:rPr>
          <w:spacing w:val="-12"/>
        </w:rPr>
        <w:t> </w:t>
      </w:r>
      <w:r>
        <w:rPr/>
        <w:t>in</w:t>
      </w:r>
      <w:r>
        <w:rPr>
          <w:spacing w:val="-11"/>
        </w:rPr>
        <w:t> </w:t>
      </w:r>
      <w:r>
        <w:rPr/>
        <w:t>ensuring</w:t>
      </w:r>
      <w:r>
        <w:rPr>
          <w:spacing w:val="-11"/>
        </w:rPr>
        <w:t> </w:t>
      </w:r>
      <w:r>
        <w:rPr/>
        <w:t>the</w:t>
      </w:r>
      <w:r>
        <w:rPr>
          <w:spacing w:val="-11"/>
        </w:rPr>
        <w:t> </w:t>
      </w:r>
      <w:r>
        <w:rPr/>
        <w:t>efficient</w:t>
      </w:r>
      <w:r>
        <w:rPr>
          <w:spacing w:val="-13"/>
        </w:rPr>
        <w:t> </w:t>
      </w:r>
      <w:r>
        <w:rPr/>
        <w:t>management</w:t>
      </w:r>
      <w:r>
        <w:rPr>
          <w:spacing w:val="-11"/>
        </w:rPr>
        <w:t> </w:t>
      </w:r>
      <w:r>
        <w:rPr/>
        <w:t>of</w:t>
      </w:r>
      <w:r>
        <w:rPr>
          <w:spacing w:val="-11"/>
        </w:rPr>
        <w:t> </w:t>
      </w:r>
      <w:r>
        <w:rPr/>
        <w:t>service planning,</w:t>
      </w:r>
      <w:r>
        <w:rPr>
          <w:spacing w:val="-2"/>
        </w:rPr>
        <w:t> </w:t>
      </w:r>
      <w:r>
        <w:rPr/>
        <w:t>resources</w:t>
      </w:r>
      <w:r>
        <w:rPr>
          <w:spacing w:val="-2"/>
        </w:rPr>
        <w:t> </w:t>
      </w:r>
      <w:r>
        <w:rPr/>
        <w:t>and performance</w:t>
      </w:r>
      <w:r>
        <w:rPr>
          <w:spacing w:val="-2"/>
        </w:rPr>
        <w:t> </w:t>
      </w:r>
      <w:r>
        <w:rPr/>
        <w:t>management. It</w:t>
      </w:r>
      <w:r>
        <w:rPr>
          <w:spacing w:val="-2"/>
        </w:rPr>
        <w:t> </w:t>
      </w:r>
      <w:r>
        <w:rPr/>
        <w:t>is</w:t>
      </w:r>
      <w:r>
        <w:rPr>
          <w:spacing w:val="-2"/>
        </w:rPr>
        <w:t> </w:t>
      </w:r>
      <w:r>
        <w:rPr/>
        <w:t>therefore</w:t>
      </w:r>
      <w:r>
        <w:rPr>
          <w:spacing w:val="-3"/>
        </w:rPr>
        <w:t> </w:t>
      </w:r>
      <w:r>
        <w:rPr/>
        <w:t>of paramount importance to ensure that information is efficiently managed, and that appropriate policies, procedures and management accountability and structures provide a robust governance framework for information management for all systems and services including hosted systems (e.g Federated Data Platform and the South West Secure Data Envirnoment).</w:t>
      </w:r>
    </w:p>
    <w:p>
      <w:pPr>
        <w:pStyle w:val="BodyText"/>
      </w:pPr>
    </w:p>
    <w:p>
      <w:pPr>
        <w:pStyle w:val="BodyText"/>
        <w:ind w:left="520" w:right="396"/>
        <w:jc w:val="both"/>
      </w:pPr>
      <w:r>
        <w:rPr/>
        <w:t>Information</w:t>
      </w:r>
      <w:r>
        <w:rPr>
          <w:spacing w:val="-1"/>
        </w:rPr>
        <w:t> </w:t>
      </w:r>
      <w:r>
        <w:rPr/>
        <w:t>Governance</w:t>
      </w:r>
      <w:r>
        <w:rPr>
          <w:spacing w:val="-1"/>
        </w:rPr>
        <w:t> </w:t>
      </w:r>
      <w:r>
        <w:rPr/>
        <w:t>looks</w:t>
      </w:r>
      <w:r>
        <w:rPr>
          <w:spacing w:val="-4"/>
        </w:rPr>
        <w:t> </w:t>
      </w:r>
      <w:r>
        <w:rPr/>
        <w:t>at</w:t>
      </w:r>
      <w:r>
        <w:rPr>
          <w:spacing w:val="-4"/>
        </w:rPr>
        <w:t> </w:t>
      </w:r>
      <w:r>
        <w:rPr/>
        <w:t>the</w:t>
      </w:r>
      <w:r>
        <w:rPr>
          <w:spacing w:val="-1"/>
        </w:rPr>
        <w:t> </w:t>
      </w:r>
      <w:r>
        <w:rPr/>
        <w:t>way</w:t>
      </w:r>
      <w:r>
        <w:rPr>
          <w:spacing w:val="-4"/>
        </w:rPr>
        <w:t> </w:t>
      </w:r>
      <w:r>
        <w:rPr/>
        <w:t>the</w:t>
      </w:r>
      <w:r>
        <w:rPr>
          <w:spacing w:val="-4"/>
        </w:rPr>
        <w:t> </w:t>
      </w:r>
      <w:r>
        <w:rPr/>
        <w:t>NHS</w:t>
      </w:r>
      <w:r>
        <w:rPr>
          <w:spacing w:val="-2"/>
        </w:rPr>
        <w:t> </w:t>
      </w:r>
      <w:r>
        <w:rPr/>
        <w:t>handles</w:t>
      </w:r>
      <w:r>
        <w:rPr>
          <w:spacing w:val="-1"/>
        </w:rPr>
        <w:t> </w:t>
      </w:r>
      <w:r>
        <w:rPr/>
        <w:t>information</w:t>
      </w:r>
      <w:r>
        <w:rPr>
          <w:spacing w:val="-4"/>
        </w:rPr>
        <w:t> </w:t>
      </w:r>
      <w:r>
        <w:rPr/>
        <w:t>about patients,</w:t>
      </w:r>
      <w:r>
        <w:rPr>
          <w:spacing w:val="-3"/>
        </w:rPr>
        <w:t> </w:t>
      </w:r>
      <w:r>
        <w:rPr/>
        <w:t>staff, contractors and the healthcare provided, with particular consideration of personal and confidential information.</w:t>
      </w:r>
      <w:r>
        <w:rPr>
          <w:spacing w:val="40"/>
        </w:rPr>
        <w:t> </w:t>
      </w:r>
      <w:r>
        <w:rPr/>
        <w:t>Without access to information, it would be impossible to provide quality healthcare and good corporate governance.</w:t>
      </w:r>
      <w:r>
        <w:rPr>
          <w:spacing w:val="40"/>
        </w:rPr>
        <w:t> </w:t>
      </w:r>
      <w:r>
        <w:rPr/>
        <w:t>A robust governance framework needs to be in place to manage this vital asset, providing a consistent way to deal with the many different information handling requirements including:</w:t>
      </w:r>
    </w:p>
    <w:p>
      <w:pPr>
        <w:pStyle w:val="BodyText"/>
        <w:spacing w:before="1"/>
      </w:pPr>
    </w:p>
    <w:p>
      <w:pPr>
        <w:pStyle w:val="ListParagraph"/>
        <w:numPr>
          <w:ilvl w:val="0"/>
          <w:numId w:val="3"/>
        </w:numPr>
        <w:tabs>
          <w:tab w:pos="1240" w:val="left" w:leader="none"/>
        </w:tabs>
        <w:spacing w:line="292" w:lineRule="exact" w:before="1" w:after="0"/>
        <w:ind w:left="1240" w:right="0" w:hanging="360"/>
        <w:jc w:val="left"/>
        <w:rPr>
          <w:sz w:val="24"/>
        </w:rPr>
      </w:pPr>
      <w:r>
        <w:rPr>
          <w:sz w:val="24"/>
        </w:rPr>
        <w:t>Information</w:t>
      </w:r>
      <w:r>
        <w:rPr>
          <w:spacing w:val="-9"/>
          <w:sz w:val="24"/>
        </w:rPr>
        <w:t> </w:t>
      </w:r>
      <w:r>
        <w:rPr>
          <w:sz w:val="24"/>
        </w:rPr>
        <w:t>Governance</w:t>
      </w:r>
      <w:r>
        <w:rPr>
          <w:spacing w:val="-8"/>
          <w:sz w:val="24"/>
        </w:rPr>
        <w:t> </w:t>
      </w:r>
      <w:r>
        <w:rPr>
          <w:spacing w:val="-2"/>
          <w:sz w:val="24"/>
        </w:rPr>
        <w:t>Management</w:t>
      </w:r>
    </w:p>
    <w:p>
      <w:pPr>
        <w:pStyle w:val="ListParagraph"/>
        <w:numPr>
          <w:ilvl w:val="0"/>
          <w:numId w:val="3"/>
        </w:numPr>
        <w:tabs>
          <w:tab w:pos="1240" w:val="left" w:leader="none"/>
        </w:tabs>
        <w:spacing w:line="292" w:lineRule="exact" w:before="0" w:after="0"/>
        <w:ind w:left="1240" w:right="0" w:hanging="360"/>
        <w:jc w:val="left"/>
        <w:rPr>
          <w:sz w:val="24"/>
        </w:rPr>
      </w:pPr>
      <w:r>
        <w:rPr>
          <w:sz w:val="24"/>
        </w:rPr>
        <w:t>Confidentiality</w:t>
      </w:r>
      <w:r>
        <w:rPr>
          <w:spacing w:val="-7"/>
          <w:sz w:val="24"/>
        </w:rPr>
        <w:t> </w:t>
      </w:r>
      <w:r>
        <w:rPr>
          <w:sz w:val="24"/>
        </w:rPr>
        <w:t>and</w:t>
      </w:r>
      <w:r>
        <w:rPr>
          <w:spacing w:val="-6"/>
          <w:sz w:val="24"/>
        </w:rPr>
        <w:t> </w:t>
      </w:r>
      <w:r>
        <w:rPr>
          <w:sz w:val="24"/>
        </w:rPr>
        <w:t>Data</w:t>
      </w:r>
      <w:r>
        <w:rPr>
          <w:spacing w:val="-7"/>
          <w:sz w:val="24"/>
        </w:rPr>
        <w:t> </w:t>
      </w:r>
      <w:r>
        <w:rPr>
          <w:sz w:val="24"/>
        </w:rPr>
        <w:t>Protection</w:t>
      </w:r>
      <w:r>
        <w:rPr>
          <w:spacing w:val="-8"/>
          <w:sz w:val="24"/>
        </w:rPr>
        <w:t> </w:t>
      </w:r>
      <w:r>
        <w:rPr>
          <w:sz w:val="24"/>
        </w:rPr>
        <w:t>Legislation</w:t>
      </w:r>
      <w:r>
        <w:rPr>
          <w:spacing w:val="-7"/>
          <w:sz w:val="24"/>
        </w:rPr>
        <w:t> </w:t>
      </w:r>
      <w:r>
        <w:rPr>
          <w:spacing w:val="-2"/>
          <w:sz w:val="24"/>
        </w:rPr>
        <w:t>assurance</w:t>
      </w:r>
    </w:p>
    <w:p>
      <w:pPr>
        <w:pStyle w:val="ListParagraph"/>
        <w:numPr>
          <w:ilvl w:val="0"/>
          <w:numId w:val="3"/>
        </w:numPr>
        <w:tabs>
          <w:tab w:pos="1240" w:val="left" w:leader="none"/>
        </w:tabs>
        <w:spacing w:line="293" w:lineRule="exact" w:before="0" w:after="0"/>
        <w:ind w:left="1240" w:right="0" w:hanging="360"/>
        <w:jc w:val="left"/>
        <w:rPr>
          <w:sz w:val="24"/>
        </w:rPr>
      </w:pPr>
      <w:r>
        <w:rPr>
          <w:sz w:val="24"/>
        </w:rPr>
        <w:t>Corporate</w:t>
      </w:r>
      <w:r>
        <w:rPr>
          <w:spacing w:val="-8"/>
          <w:sz w:val="24"/>
        </w:rPr>
        <w:t> </w:t>
      </w:r>
      <w:r>
        <w:rPr>
          <w:sz w:val="24"/>
        </w:rPr>
        <w:t>Information</w:t>
      </w:r>
      <w:r>
        <w:rPr>
          <w:spacing w:val="-7"/>
          <w:sz w:val="24"/>
        </w:rPr>
        <w:t> </w:t>
      </w:r>
      <w:r>
        <w:rPr>
          <w:spacing w:val="-2"/>
          <w:sz w:val="24"/>
        </w:rPr>
        <w:t>assurance</w:t>
      </w:r>
    </w:p>
    <w:p>
      <w:pPr>
        <w:pStyle w:val="ListParagraph"/>
        <w:numPr>
          <w:ilvl w:val="0"/>
          <w:numId w:val="3"/>
        </w:numPr>
        <w:tabs>
          <w:tab w:pos="1240" w:val="left" w:leader="none"/>
        </w:tabs>
        <w:spacing w:line="292" w:lineRule="exact" w:before="0" w:after="0"/>
        <w:ind w:left="1240" w:right="0" w:hanging="360"/>
        <w:jc w:val="left"/>
        <w:rPr>
          <w:sz w:val="24"/>
        </w:rPr>
      </w:pPr>
      <w:r>
        <w:rPr>
          <w:sz w:val="24"/>
        </w:rPr>
        <w:t>Information</w:t>
      </w:r>
      <w:r>
        <w:rPr>
          <w:spacing w:val="-7"/>
          <w:sz w:val="24"/>
        </w:rPr>
        <w:t> </w:t>
      </w:r>
      <w:r>
        <w:rPr>
          <w:sz w:val="24"/>
        </w:rPr>
        <w:t>Security</w:t>
      </w:r>
      <w:r>
        <w:rPr>
          <w:spacing w:val="-6"/>
          <w:sz w:val="24"/>
        </w:rPr>
        <w:t> </w:t>
      </w:r>
      <w:r>
        <w:rPr>
          <w:spacing w:val="-2"/>
          <w:sz w:val="24"/>
        </w:rPr>
        <w:t>assurance</w:t>
      </w:r>
    </w:p>
    <w:p>
      <w:pPr>
        <w:pStyle w:val="ListParagraph"/>
        <w:numPr>
          <w:ilvl w:val="0"/>
          <w:numId w:val="3"/>
        </w:numPr>
        <w:tabs>
          <w:tab w:pos="1240" w:val="left" w:leader="none"/>
        </w:tabs>
        <w:spacing w:line="292" w:lineRule="exact" w:before="0" w:after="0"/>
        <w:ind w:left="1240" w:right="0" w:hanging="360"/>
        <w:jc w:val="left"/>
        <w:rPr>
          <w:sz w:val="24"/>
        </w:rPr>
      </w:pPr>
      <w:r>
        <w:rPr>
          <w:sz w:val="24"/>
        </w:rPr>
        <w:t>Secondary</w:t>
      </w:r>
      <w:r>
        <w:rPr>
          <w:spacing w:val="-4"/>
          <w:sz w:val="24"/>
        </w:rPr>
        <w:t> </w:t>
      </w:r>
      <w:r>
        <w:rPr>
          <w:sz w:val="24"/>
        </w:rPr>
        <w:t>Use</w:t>
      </w:r>
      <w:r>
        <w:rPr>
          <w:spacing w:val="-5"/>
          <w:sz w:val="24"/>
        </w:rPr>
        <w:t> </w:t>
      </w:r>
      <w:r>
        <w:rPr>
          <w:spacing w:val="-2"/>
          <w:sz w:val="24"/>
        </w:rPr>
        <w:t>assurance</w:t>
      </w:r>
    </w:p>
    <w:p>
      <w:pPr>
        <w:pStyle w:val="BodyText"/>
        <w:spacing w:before="274"/>
        <w:ind w:left="520" w:right="405"/>
        <w:jc w:val="both"/>
      </w:pPr>
      <w:r>
        <w:rPr/>
        <w:t>The aims of this policy are to maximise the value of organisational assets by ensuring that information is:</w:t>
      </w:r>
    </w:p>
    <w:p>
      <w:pPr>
        <w:pStyle w:val="BodyText"/>
        <w:spacing w:before="1"/>
      </w:pPr>
    </w:p>
    <w:p>
      <w:pPr>
        <w:pStyle w:val="ListParagraph"/>
        <w:numPr>
          <w:ilvl w:val="0"/>
          <w:numId w:val="3"/>
        </w:numPr>
        <w:tabs>
          <w:tab w:pos="1240" w:val="left" w:leader="none"/>
        </w:tabs>
        <w:spacing w:line="240" w:lineRule="auto" w:before="0" w:after="0"/>
        <w:ind w:left="1240" w:right="0" w:hanging="360"/>
        <w:jc w:val="left"/>
        <w:rPr>
          <w:sz w:val="24"/>
        </w:rPr>
      </w:pPr>
      <w:r>
        <w:rPr>
          <w:sz w:val="24"/>
        </w:rPr>
        <w:t>Held</w:t>
      </w:r>
      <w:r>
        <w:rPr>
          <w:spacing w:val="-2"/>
          <w:sz w:val="24"/>
        </w:rPr>
        <w:t> </w:t>
      </w:r>
      <w:r>
        <w:rPr>
          <w:sz w:val="24"/>
        </w:rPr>
        <w:t>securely</w:t>
      </w:r>
      <w:r>
        <w:rPr>
          <w:spacing w:val="-5"/>
          <w:sz w:val="24"/>
        </w:rPr>
        <w:t> </w:t>
      </w:r>
      <w:r>
        <w:rPr>
          <w:sz w:val="24"/>
        </w:rPr>
        <w:t>and</w:t>
      </w:r>
      <w:r>
        <w:rPr>
          <w:spacing w:val="-4"/>
          <w:sz w:val="24"/>
        </w:rPr>
        <w:t> </w:t>
      </w:r>
      <w:r>
        <w:rPr>
          <w:spacing w:val="-2"/>
          <w:sz w:val="24"/>
        </w:rPr>
        <w:t>confidentially</w:t>
      </w:r>
    </w:p>
    <w:p>
      <w:pPr>
        <w:spacing w:after="0" w:line="240" w:lineRule="auto"/>
        <w:jc w:val="left"/>
        <w:rPr>
          <w:sz w:val="24"/>
        </w:rPr>
        <w:sectPr>
          <w:pgSz w:w="11910" w:h="16840"/>
          <w:pgMar w:header="570" w:footer="1032" w:top="1200" w:bottom="1220" w:left="560" w:right="680"/>
        </w:sectPr>
      </w:pPr>
    </w:p>
    <w:p>
      <w:pPr>
        <w:pStyle w:val="BodyText"/>
        <w:spacing w:before="207"/>
      </w:pPr>
    </w:p>
    <w:p>
      <w:pPr>
        <w:pStyle w:val="ListParagraph"/>
        <w:numPr>
          <w:ilvl w:val="0"/>
          <w:numId w:val="3"/>
        </w:numPr>
        <w:tabs>
          <w:tab w:pos="1240" w:val="left" w:leader="none"/>
        </w:tabs>
        <w:spacing w:line="293" w:lineRule="exact" w:before="0" w:after="0"/>
        <w:ind w:left="1240" w:right="0" w:hanging="360"/>
        <w:jc w:val="left"/>
        <w:rPr>
          <w:sz w:val="24"/>
        </w:rPr>
      </w:pPr>
      <w:r>
        <w:rPr>
          <w:sz w:val="24"/>
        </w:rPr>
        <w:t>Obtained</w:t>
      </w:r>
      <w:r>
        <w:rPr>
          <w:spacing w:val="-5"/>
          <w:sz w:val="24"/>
        </w:rPr>
        <w:t> </w:t>
      </w:r>
      <w:r>
        <w:rPr>
          <w:sz w:val="24"/>
        </w:rPr>
        <w:t>fairly</w:t>
      </w:r>
      <w:r>
        <w:rPr>
          <w:spacing w:val="-2"/>
          <w:sz w:val="24"/>
        </w:rPr>
        <w:t> </w:t>
      </w:r>
      <w:r>
        <w:rPr>
          <w:sz w:val="24"/>
        </w:rPr>
        <w:t>and</w:t>
      </w:r>
      <w:r>
        <w:rPr>
          <w:spacing w:val="-2"/>
          <w:sz w:val="24"/>
        </w:rPr>
        <w:t> efficiently</w:t>
      </w:r>
    </w:p>
    <w:p>
      <w:pPr>
        <w:pStyle w:val="ListParagraph"/>
        <w:numPr>
          <w:ilvl w:val="0"/>
          <w:numId w:val="3"/>
        </w:numPr>
        <w:tabs>
          <w:tab w:pos="1240" w:val="left" w:leader="none"/>
        </w:tabs>
        <w:spacing w:line="292" w:lineRule="exact" w:before="0" w:after="0"/>
        <w:ind w:left="1240" w:right="0" w:hanging="360"/>
        <w:jc w:val="left"/>
        <w:rPr>
          <w:sz w:val="24"/>
        </w:rPr>
      </w:pPr>
      <w:r>
        <w:rPr>
          <w:sz w:val="24"/>
        </w:rPr>
        <w:t>Recorded</w:t>
      </w:r>
      <w:r>
        <w:rPr>
          <w:spacing w:val="-7"/>
          <w:sz w:val="24"/>
        </w:rPr>
        <w:t> </w:t>
      </w:r>
      <w:r>
        <w:rPr>
          <w:sz w:val="24"/>
        </w:rPr>
        <w:t>accurately</w:t>
      </w:r>
      <w:r>
        <w:rPr>
          <w:spacing w:val="-4"/>
          <w:sz w:val="24"/>
        </w:rPr>
        <w:t> </w:t>
      </w:r>
      <w:r>
        <w:rPr>
          <w:sz w:val="24"/>
        </w:rPr>
        <w:t>and</w:t>
      </w:r>
      <w:r>
        <w:rPr>
          <w:spacing w:val="-4"/>
          <w:sz w:val="24"/>
        </w:rPr>
        <w:t> </w:t>
      </w:r>
      <w:r>
        <w:rPr>
          <w:spacing w:val="-2"/>
          <w:sz w:val="24"/>
        </w:rPr>
        <w:t>reliably</w:t>
      </w:r>
    </w:p>
    <w:p>
      <w:pPr>
        <w:pStyle w:val="ListParagraph"/>
        <w:numPr>
          <w:ilvl w:val="0"/>
          <w:numId w:val="3"/>
        </w:numPr>
        <w:tabs>
          <w:tab w:pos="1240" w:val="left" w:leader="none"/>
        </w:tabs>
        <w:spacing w:line="292" w:lineRule="exact" w:before="0" w:after="0"/>
        <w:ind w:left="1240" w:right="0" w:hanging="360"/>
        <w:jc w:val="left"/>
        <w:rPr>
          <w:sz w:val="24"/>
        </w:rPr>
      </w:pPr>
      <w:r>
        <w:rPr>
          <w:sz w:val="24"/>
        </w:rPr>
        <w:t>Used</w:t>
      </w:r>
      <w:r>
        <w:rPr>
          <w:spacing w:val="-2"/>
          <w:sz w:val="24"/>
        </w:rPr>
        <w:t> </w:t>
      </w:r>
      <w:r>
        <w:rPr>
          <w:sz w:val="24"/>
        </w:rPr>
        <w:t>effectively</w:t>
      </w:r>
      <w:r>
        <w:rPr>
          <w:spacing w:val="-6"/>
          <w:sz w:val="24"/>
        </w:rPr>
        <w:t> </w:t>
      </w:r>
      <w:r>
        <w:rPr>
          <w:sz w:val="24"/>
        </w:rPr>
        <w:t>and</w:t>
      </w:r>
      <w:r>
        <w:rPr>
          <w:spacing w:val="-4"/>
          <w:sz w:val="24"/>
        </w:rPr>
        <w:t> </w:t>
      </w:r>
      <w:r>
        <w:rPr>
          <w:spacing w:val="-2"/>
          <w:sz w:val="24"/>
        </w:rPr>
        <w:t>ethically</w:t>
      </w:r>
    </w:p>
    <w:p>
      <w:pPr>
        <w:pStyle w:val="ListParagraph"/>
        <w:numPr>
          <w:ilvl w:val="0"/>
          <w:numId w:val="3"/>
        </w:numPr>
        <w:tabs>
          <w:tab w:pos="1240" w:val="left" w:leader="none"/>
        </w:tabs>
        <w:spacing w:line="293" w:lineRule="exact" w:before="0" w:after="0"/>
        <w:ind w:left="1240" w:right="0" w:hanging="360"/>
        <w:jc w:val="left"/>
        <w:rPr>
          <w:sz w:val="24"/>
        </w:rPr>
      </w:pPr>
      <w:r>
        <w:rPr>
          <w:sz w:val="24"/>
        </w:rPr>
        <w:t>Shared</w:t>
      </w:r>
      <w:r>
        <w:rPr>
          <w:spacing w:val="-5"/>
          <w:sz w:val="24"/>
        </w:rPr>
        <w:t> </w:t>
      </w:r>
      <w:r>
        <w:rPr>
          <w:sz w:val="24"/>
        </w:rPr>
        <w:t>appropriately</w:t>
      </w:r>
      <w:r>
        <w:rPr>
          <w:spacing w:val="-5"/>
          <w:sz w:val="24"/>
        </w:rPr>
        <w:t> </w:t>
      </w:r>
      <w:r>
        <w:rPr>
          <w:sz w:val="24"/>
        </w:rPr>
        <w:t>and</w:t>
      </w:r>
      <w:r>
        <w:rPr>
          <w:spacing w:val="-4"/>
          <w:sz w:val="24"/>
        </w:rPr>
        <w:t> </w:t>
      </w:r>
      <w:r>
        <w:rPr>
          <w:spacing w:val="-2"/>
          <w:sz w:val="24"/>
        </w:rPr>
        <w:t>lawfully</w:t>
      </w:r>
    </w:p>
    <w:p>
      <w:pPr>
        <w:pStyle w:val="BodyText"/>
        <w:spacing w:before="274"/>
        <w:ind w:left="520" w:right="401"/>
        <w:jc w:val="both"/>
      </w:pPr>
      <w:r>
        <w:rPr/>
        <w:t>To</w:t>
      </w:r>
      <w:r>
        <w:rPr>
          <w:spacing w:val="-8"/>
        </w:rPr>
        <w:t> </w:t>
      </w:r>
      <w:r>
        <w:rPr/>
        <w:t>protect</w:t>
      </w:r>
      <w:r>
        <w:rPr>
          <w:spacing w:val="-8"/>
        </w:rPr>
        <w:t> </w:t>
      </w:r>
      <w:r>
        <w:rPr/>
        <w:t>the</w:t>
      </w:r>
      <w:r>
        <w:rPr>
          <w:spacing w:val="-8"/>
        </w:rPr>
        <w:t> </w:t>
      </w:r>
      <w:r>
        <w:rPr/>
        <w:t>organisation’s</w:t>
      </w:r>
      <w:r>
        <w:rPr>
          <w:spacing w:val="-9"/>
        </w:rPr>
        <w:t> </w:t>
      </w:r>
      <w:r>
        <w:rPr/>
        <w:t>information</w:t>
      </w:r>
      <w:r>
        <w:rPr>
          <w:spacing w:val="-8"/>
        </w:rPr>
        <w:t> </w:t>
      </w:r>
      <w:r>
        <w:rPr/>
        <w:t>assets</w:t>
      </w:r>
      <w:r>
        <w:rPr>
          <w:spacing w:val="-9"/>
        </w:rPr>
        <w:t> </w:t>
      </w:r>
      <w:r>
        <w:rPr/>
        <w:t>from</w:t>
      </w:r>
      <w:r>
        <w:rPr>
          <w:spacing w:val="-10"/>
        </w:rPr>
        <w:t> </w:t>
      </w:r>
      <w:r>
        <w:rPr/>
        <w:t>all</w:t>
      </w:r>
      <w:r>
        <w:rPr>
          <w:spacing w:val="-10"/>
        </w:rPr>
        <w:t> </w:t>
      </w:r>
      <w:r>
        <w:rPr/>
        <w:t>threats,</w:t>
      </w:r>
      <w:r>
        <w:rPr>
          <w:spacing w:val="-8"/>
        </w:rPr>
        <w:t> </w:t>
      </w:r>
      <w:r>
        <w:rPr/>
        <w:t>whether</w:t>
      </w:r>
      <w:r>
        <w:rPr>
          <w:spacing w:val="-9"/>
        </w:rPr>
        <w:t> </w:t>
      </w:r>
      <w:r>
        <w:rPr/>
        <w:t>internal</w:t>
      </w:r>
      <w:r>
        <w:rPr>
          <w:spacing w:val="-9"/>
        </w:rPr>
        <w:t> </w:t>
      </w:r>
      <w:r>
        <w:rPr/>
        <w:t>or</w:t>
      </w:r>
      <w:r>
        <w:rPr>
          <w:spacing w:val="-9"/>
        </w:rPr>
        <w:t> </w:t>
      </w:r>
      <w:r>
        <w:rPr/>
        <w:t>external, deliberate or accidental, the ICB will ensure that:</w:t>
      </w:r>
    </w:p>
    <w:p>
      <w:pPr>
        <w:pStyle w:val="BodyText"/>
        <w:spacing w:before="1"/>
      </w:pPr>
    </w:p>
    <w:p>
      <w:pPr>
        <w:pStyle w:val="ListParagraph"/>
        <w:numPr>
          <w:ilvl w:val="0"/>
          <w:numId w:val="3"/>
        </w:numPr>
        <w:tabs>
          <w:tab w:pos="1240" w:val="left" w:leader="none"/>
        </w:tabs>
        <w:spacing w:line="292" w:lineRule="exact" w:before="0" w:after="0"/>
        <w:ind w:left="1240" w:right="0" w:hanging="360"/>
        <w:jc w:val="left"/>
        <w:rPr>
          <w:sz w:val="24"/>
        </w:rPr>
      </w:pPr>
      <w:r>
        <w:rPr>
          <w:sz w:val="24"/>
        </w:rPr>
        <w:t>Information</w:t>
      </w:r>
      <w:r>
        <w:rPr>
          <w:spacing w:val="-6"/>
          <w:sz w:val="24"/>
        </w:rPr>
        <w:t> </w:t>
      </w:r>
      <w:r>
        <w:rPr>
          <w:sz w:val="24"/>
        </w:rPr>
        <w:t>will</w:t>
      </w:r>
      <w:r>
        <w:rPr>
          <w:spacing w:val="-4"/>
          <w:sz w:val="24"/>
        </w:rPr>
        <w:t> </w:t>
      </w:r>
      <w:r>
        <w:rPr>
          <w:sz w:val="24"/>
        </w:rPr>
        <w:t>be</w:t>
      </w:r>
      <w:r>
        <w:rPr>
          <w:spacing w:val="-6"/>
          <w:sz w:val="24"/>
        </w:rPr>
        <w:t> </w:t>
      </w:r>
      <w:r>
        <w:rPr>
          <w:sz w:val="24"/>
        </w:rPr>
        <w:t>protected</w:t>
      </w:r>
      <w:r>
        <w:rPr>
          <w:spacing w:val="-5"/>
          <w:sz w:val="24"/>
        </w:rPr>
        <w:t> </w:t>
      </w:r>
      <w:r>
        <w:rPr>
          <w:sz w:val="24"/>
        </w:rPr>
        <w:t>against</w:t>
      </w:r>
      <w:r>
        <w:rPr>
          <w:spacing w:val="-6"/>
          <w:sz w:val="24"/>
        </w:rPr>
        <w:t> </w:t>
      </w:r>
      <w:r>
        <w:rPr>
          <w:sz w:val="24"/>
        </w:rPr>
        <w:t>unauthorised</w:t>
      </w:r>
      <w:r>
        <w:rPr>
          <w:spacing w:val="-3"/>
          <w:sz w:val="24"/>
        </w:rPr>
        <w:t> </w:t>
      </w:r>
      <w:r>
        <w:rPr>
          <w:spacing w:val="-2"/>
          <w:sz w:val="24"/>
        </w:rPr>
        <w:t>access</w:t>
      </w:r>
    </w:p>
    <w:p>
      <w:pPr>
        <w:pStyle w:val="ListParagraph"/>
        <w:numPr>
          <w:ilvl w:val="0"/>
          <w:numId w:val="3"/>
        </w:numPr>
        <w:tabs>
          <w:tab w:pos="1240" w:val="left" w:leader="none"/>
        </w:tabs>
        <w:spacing w:line="292" w:lineRule="exact" w:before="0" w:after="0"/>
        <w:ind w:left="1240" w:right="0" w:hanging="360"/>
        <w:jc w:val="left"/>
        <w:rPr>
          <w:sz w:val="24"/>
        </w:rPr>
      </w:pPr>
      <w:r>
        <w:rPr>
          <w:sz w:val="24"/>
        </w:rPr>
        <w:t>Confidentiality</w:t>
      </w:r>
      <w:r>
        <w:rPr>
          <w:spacing w:val="-5"/>
          <w:sz w:val="24"/>
        </w:rPr>
        <w:t> </w:t>
      </w:r>
      <w:r>
        <w:rPr>
          <w:sz w:val="24"/>
        </w:rPr>
        <w:t>of</w:t>
      </w:r>
      <w:r>
        <w:rPr>
          <w:spacing w:val="-4"/>
          <w:sz w:val="24"/>
        </w:rPr>
        <w:t> </w:t>
      </w:r>
      <w:r>
        <w:rPr>
          <w:sz w:val="24"/>
        </w:rPr>
        <w:t>information</w:t>
      </w:r>
      <w:r>
        <w:rPr>
          <w:spacing w:val="-4"/>
          <w:sz w:val="24"/>
        </w:rPr>
        <w:t> </w:t>
      </w:r>
      <w:r>
        <w:rPr>
          <w:sz w:val="24"/>
        </w:rPr>
        <w:t>will</w:t>
      </w:r>
      <w:r>
        <w:rPr>
          <w:spacing w:val="-4"/>
          <w:sz w:val="24"/>
        </w:rPr>
        <w:t> </w:t>
      </w:r>
      <w:r>
        <w:rPr>
          <w:sz w:val="24"/>
        </w:rPr>
        <w:t>be</w:t>
      </w:r>
      <w:r>
        <w:rPr>
          <w:spacing w:val="-5"/>
          <w:sz w:val="24"/>
        </w:rPr>
        <w:t> </w:t>
      </w:r>
      <w:r>
        <w:rPr>
          <w:spacing w:val="-2"/>
          <w:sz w:val="24"/>
        </w:rPr>
        <w:t>assured</w:t>
      </w:r>
    </w:p>
    <w:p>
      <w:pPr>
        <w:pStyle w:val="ListParagraph"/>
        <w:numPr>
          <w:ilvl w:val="0"/>
          <w:numId w:val="3"/>
        </w:numPr>
        <w:tabs>
          <w:tab w:pos="1240" w:val="left" w:leader="none"/>
        </w:tabs>
        <w:spacing w:line="293" w:lineRule="exact" w:before="0" w:after="0"/>
        <w:ind w:left="1240" w:right="0" w:hanging="360"/>
        <w:jc w:val="left"/>
        <w:rPr>
          <w:sz w:val="24"/>
        </w:rPr>
      </w:pPr>
      <w:r>
        <w:rPr>
          <w:sz w:val="24"/>
        </w:rPr>
        <w:t>Integrity</w:t>
      </w:r>
      <w:r>
        <w:rPr>
          <w:spacing w:val="-4"/>
          <w:sz w:val="24"/>
        </w:rPr>
        <w:t> </w:t>
      </w:r>
      <w:r>
        <w:rPr>
          <w:sz w:val="24"/>
        </w:rPr>
        <w:t>of</w:t>
      </w:r>
      <w:r>
        <w:rPr>
          <w:spacing w:val="-3"/>
          <w:sz w:val="24"/>
        </w:rPr>
        <w:t> </w:t>
      </w:r>
      <w:r>
        <w:rPr>
          <w:sz w:val="24"/>
        </w:rPr>
        <w:t>information</w:t>
      </w:r>
      <w:r>
        <w:rPr>
          <w:spacing w:val="-5"/>
          <w:sz w:val="24"/>
        </w:rPr>
        <w:t> </w:t>
      </w:r>
      <w:r>
        <w:rPr>
          <w:sz w:val="24"/>
        </w:rPr>
        <w:t>will</w:t>
      </w:r>
      <w:r>
        <w:rPr>
          <w:spacing w:val="-4"/>
          <w:sz w:val="24"/>
        </w:rPr>
        <w:t> </w:t>
      </w:r>
      <w:r>
        <w:rPr>
          <w:sz w:val="24"/>
        </w:rPr>
        <w:t>be</w:t>
      </w:r>
      <w:r>
        <w:rPr>
          <w:spacing w:val="-3"/>
          <w:sz w:val="24"/>
        </w:rPr>
        <w:t> </w:t>
      </w:r>
      <w:r>
        <w:rPr>
          <w:spacing w:val="-2"/>
          <w:sz w:val="24"/>
        </w:rPr>
        <w:t>maintained</w:t>
      </w:r>
    </w:p>
    <w:p>
      <w:pPr>
        <w:pStyle w:val="ListParagraph"/>
        <w:numPr>
          <w:ilvl w:val="0"/>
          <w:numId w:val="3"/>
        </w:numPr>
        <w:tabs>
          <w:tab w:pos="1240" w:val="left" w:leader="none"/>
        </w:tabs>
        <w:spacing w:line="293" w:lineRule="exact" w:before="0" w:after="0"/>
        <w:ind w:left="1240" w:right="0" w:hanging="360"/>
        <w:jc w:val="left"/>
        <w:rPr>
          <w:sz w:val="24"/>
        </w:rPr>
      </w:pPr>
      <w:r>
        <w:rPr>
          <w:sz w:val="24"/>
        </w:rPr>
        <w:t>Information</w:t>
      </w:r>
      <w:r>
        <w:rPr>
          <w:spacing w:val="-4"/>
          <w:sz w:val="24"/>
        </w:rPr>
        <w:t> </w:t>
      </w:r>
      <w:r>
        <w:rPr>
          <w:sz w:val="24"/>
        </w:rPr>
        <w:t>will</w:t>
      </w:r>
      <w:r>
        <w:rPr>
          <w:spacing w:val="-3"/>
          <w:sz w:val="24"/>
        </w:rPr>
        <w:t> </w:t>
      </w:r>
      <w:r>
        <w:rPr>
          <w:sz w:val="24"/>
        </w:rPr>
        <w:t>be</w:t>
      </w:r>
      <w:r>
        <w:rPr>
          <w:spacing w:val="-3"/>
          <w:sz w:val="24"/>
        </w:rPr>
        <w:t> </w:t>
      </w:r>
      <w:r>
        <w:rPr>
          <w:sz w:val="24"/>
        </w:rPr>
        <w:t>supported</w:t>
      </w:r>
      <w:r>
        <w:rPr>
          <w:spacing w:val="-5"/>
          <w:sz w:val="24"/>
        </w:rPr>
        <w:t> </w:t>
      </w:r>
      <w:r>
        <w:rPr>
          <w:sz w:val="24"/>
        </w:rPr>
        <w:t>by</w:t>
      </w:r>
      <w:r>
        <w:rPr>
          <w:spacing w:val="-3"/>
          <w:sz w:val="24"/>
        </w:rPr>
        <w:t> </w:t>
      </w:r>
      <w:r>
        <w:rPr>
          <w:sz w:val="24"/>
        </w:rPr>
        <w:t>the</w:t>
      </w:r>
      <w:r>
        <w:rPr>
          <w:spacing w:val="-5"/>
          <w:sz w:val="24"/>
        </w:rPr>
        <w:t> </w:t>
      </w:r>
      <w:r>
        <w:rPr>
          <w:sz w:val="24"/>
        </w:rPr>
        <w:t>highest</w:t>
      </w:r>
      <w:r>
        <w:rPr>
          <w:spacing w:val="-4"/>
          <w:sz w:val="24"/>
        </w:rPr>
        <w:t> </w:t>
      </w:r>
      <w:r>
        <w:rPr>
          <w:sz w:val="24"/>
        </w:rPr>
        <w:t>quality</w:t>
      </w:r>
      <w:r>
        <w:rPr>
          <w:spacing w:val="-3"/>
          <w:sz w:val="24"/>
        </w:rPr>
        <w:t> </w:t>
      </w:r>
      <w:r>
        <w:rPr>
          <w:spacing w:val="-4"/>
          <w:sz w:val="24"/>
        </w:rPr>
        <w:t>data</w:t>
      </w:r>
    </w:p>
    <w:p>
      <w:pPr>
        <w:pStyle w:val="ListParagraph"/>
        <w:numPr>
          <w:ilvl w:val="0"/>
          <w:numId w:val="3"/>
        </w:numPr>
        <w:tabs>
          <w:tab w:pos="1240" w:val="left" w:leader="none"/>
        </w:tabs>
        <w:spacing w:line="292" w:lineRule="exact" w:before="0" w:after="0"/>
        <w:ind w:left="1240" w:right="0" w:hanging="360"/>
        <w:jc w:val="left"/>
        <w:rPr>
          <w:sz w:val="24"/>
        </w:rPr>
      </w:pPr>
      <w:r>
        <w:rPr>
          <w:sz w:val="24"/>
        </w:rPr>
        <w:t>Regulatory</w:t>
      </w:r>
      <w:r>
        <w:rPr>
          <w:spacing w:val="-7"/>
          <w:sz w:val="24"/>
        </w:rPr>
        <w:t> </w:t>
      </w:r>
      <w:r>
        <w:rPr>
          <w:sz w:val="24"/>
        </w:rPr>
        <w:t>and</w:t>
      </w:r>
      <w:r>
        <w:rPr>
          <w:spacing w:val="-4"/>
          <w:sz w:val="24"/>
        </w:rPr>
        <w:t> </w:t>
      </w:r>
      <w:r>
        <w:rPr>
          <w:sz w:val="24"/>
        </w:rPr>
        <w:t>legislative</w:t>
      </w:r>
      <w:r>
        <w:rPr>
          <w:spacing w:val="-5"/>
          <w:sz w:val="24"/>
        </w:rPr>
        <w:t> </w:t>
      </w:r>
      <w:r>
        <w:rPr>
          <w:sz w:val="24"/>
        </w:rPr>
        <w:t>requirements</w:t>
      </w:r>
      <w:r>
        <w:rPr>
          <w:spacing w:val="-4"/>
          <w:sz w:val="24"/>
        </w:rPr>
        <w:t> </w:t>
      </w:r>
      <w:r>
        <w:rPr>
          <w:sz w:val="24"/>
        </w:rPr>
        <w:t>will</w:t>
      </w:r>
      <w:r>
        <w:rPr>
          <w:spacing w:val="-5"/>
          <w:sz w:val="24"/>
        </w:rPr>
        <w:t> </w:t>
      </w:r>
      <w:r>
        <w:rPr>
          <w:sz w:val="24"/>
        </w:rPr>
        <w:t>be</w:t>
      </w:r>
      <w:r>
        <w:rPr>
          <w:spacing w:val="-4"/>
          <w:sz w:val="24"/>
        </w:rPr>
        <w:t> </w:t>
      </w:r>
      <w:r>
        <w:rPr>
          <w:spacing w:val="-5"/>
          <w:sz w:val="24"/>
        </w:rPr>
        <w:t>met</w:t>
      </w:r>
    </w:p>
    <w:p>
      <w:pPr>
        <w:pStyle w:val="ListParagraph"/>
        <w:numPr>
          <w:ilvl w:val="0"/>
          <w:numId w:val="3"/>
        </w:numPr>
        <w:tabs>
          <w:tab w:pos="1240" w:val="left" w:leader="none"/>
        </w:tabs>
        <w:spacing w:line="292" w:lineRule="exact" w:before="0" w:after="0"/>
        <w:ind w:left="1240" w:right="0" w:hanging="360"/>
        <w:jc w:val="left"/>
        <w:rPr>
          <w:sz w:val="24"/>
        </w:rPr>
      </w:pPr>
      <w:r>
        <w:rPr>
          <w:sz w:val="24"/>
        </w:rPr>
        <w:t>Business</w:t>
      </w:r>
      <w:r>
        <w:rPr>
          <w:spacing w:val="-6"/>
          <w:sz w:val="24"/>
        </w:rPr>
        <w:t> </w:t>
      </w:r>
      <w:r>
        <w:rPr>
          <w:sz w:val="24"/>
        </w:rPr>
        <w:t>continuity</w:t>
      </w:r>
      <w:r>
        <w:rPr>
          <w:spacing w:val="-4"/>
          <w:sz w:val="24"/>
        </w:rPr>
        <w:t> </w:t>
      </w:r>
      <w:r>
        <w:rPr>
          <w:sz w:val="24"/>
        </w:rPr>
        <w:t>plans</w:t>
      </w:r>
      <w:r>
        <w:rPr>
          <w:spacing w:val="-4"/>
          <w:sz w:val="24"/>
        </w:rPr>
        <w:t> </w:t>
      </w:r>
      <w:r>
        <w:rPr>
          <w:sz w:val="24"/>
        </w:rPr>
        <w:t>will</w:t>
      </w:r>
      <w:r>
        <w:rPr>
          <w:spacing w:val="-3"/>
          <w:sz w:val="24"/>
        </w:rPr>
        <w:t> </w:t>
      </w:r>
      <w:r>
        <w:rPr>
          <w:sz w:val="24"/>
        </w:rPr>
        <w:t>be</w:t>
      </w:r>
      <w:r>
        <w:rPr>
          <w:spacing w:val="-3"/>
          <w:sz w:val="24"/>
        </w:rPr>
        <w:t> </w:t>
      </w:r>
      <w:r>
        <w:rPr>
          <w:sz w:val="24"/>
        </w:rPr>
        <w:t>produced,</w:t>
      </w:r>
      <w:r>
        <w:rPr>
          <w:spacing w:val="-5"/>
          <w:sz w:val="24"/>
        </w:rPr>
        <w:t> </w:t>
      </w:r>
      <w:r>
        <w:rPr>
          <w:sz w:val="24"/>
        </w:rPr>
        <w:t>maintained</w:t>
      </w:r>
      <w:r>
        <w:rPr>
          <w:spacing w:val="-5"/>
          <w:sz w:val="24"/>
        </w:rPr>
        <w:t> </w:t>
      </w:r>
      <w:r>
        <w:rPr>
          <w:sz w:val="24"/>
        </w:rPr>
        <w:t>and</w:t>
      </w:r>
      <w:r>
        <w:rPr>
          <w:spacing w:val="-4"/>
          <w:sz w:val="24"/>
        </w:rPr>
        <w:t> </w:t>
      </w:r>
      <w:r>
        <w:rPr>
          <w:spacing w:val="-2"/>
          <w:sz w:val="24"/>
        </w:rPr>
        <w:t>tested</w:t>
      </w:r>
    </w:p>
    <w:p>
      <w:pPr>
        <w:pStyle w:val="ListParagraph"/>
        <w:numPr>
          <w:ilvl w:val="0"/>
          <w:numId w:val="3"/>
        </w:numPr>
        <w:tabs>
          <w:tab w:pos="1240" w:val="left" w:leader="none"/>
        </w:tabs>
        <w:spacing w:line="463" w:lineRule="auto" w:before="0" w:after="0"/>
        <w:ind w:left="520" w:right="397" w:firstLine="360"/>
        <w:jc w:val="left"/>
        <w:rPr>
          <w:sz w:val="24"/>
        </w:rPr>
      </w:pPr>
      <w:r>
        <w:rPr>
          <w:sz w:val="24"/>
        </w:rPr>
        <w:t>Information</w:t>
      </w:r>
      <w:r>
        <w:rPr>
          <w:spacing w:val="-17"/>
          <w:sz w:val="24"/>
        </w:rPr>
        <w:t> </w:t>
      </w:r>
      <w:r>
        <w:rPr>
          <w:sz w:val="24"/>
        </w:rPr>
        <w:t>Governance,</w:t>
      </w:r>
      <w:r>
        <w:rPr>
          <w:spacing w:val="-14"/>
          <w:sz w:val="24"/>
        </w:rPr>
        <w:t> </w:t>
      </w:r>
      <w:r>
        <w:rPr>
          <w:sz w:val="24"/>
        </w:rPr>
        <w:t>Information</w:t>
      </w:r>
      <w:r>
        <w:rPr>
          <w:spacing w:val="-16"/>
          <w:sz w:val="24"/>
        </w:rPr>
        <w:t> </w:t>
      </w:r>
      <w:r>
        <w:rPr>
          <w:sz w:val="24"/>
        </w:rPr>
        <w:t>security/cyber</w:t>
      </w:r>
      <w:r>
        <w:rPr>
          <w:spacing w:val="-17"/>
          <w:sz w:val="24"/>
        </w:rPr>
        <w:t> </w:t>
      </w:r>
      <w:r>
        <w:rPr>
          <w:sz w:val="24"/>
        </w:rPr>
        <w:t>training</w:t>
      </w:r>
      <w:r>
        <w:rPr>
          <w:spacing w:val="-15"/>
          <w:sz w:val="24"/>
        </w:rPr>
        <w:t> </w:t>
      </w:r>
      <w:r>
        <w:rPr>
          <w:sz w:val="24"/>
        </w:rPr>
        <w:t>will</w:t>
      </w:r>
      <w:r>
        <w:rPr>
          <w:spacing w:val="-17"/>
          <w:sz w:val="24"/>
        </w:rPr>
        <w:t> </w:t>
      </w:r>
      <w:r>
        <w:rPr>
          <w:sz w:val="24"/>
        </w:rPr>
        <w:t>be</w:t>
      </w:r>
      <w:r>
        <w:rPr>
          <w:spacing w:val="-17"/>
          <w:sz w:val="24"/>
        </w:rPr>
        <w:t> </w:t>
      </w:r>
      <w:r>
        <w:rPr>
          <w:sz w:val="24"/>
        </w:rPr>
        <w:t>available</w:t>
      </w:r>
      <w:r>
        <w:rPr>
          <w:spacing w:val="-16"/>
          <w:sz w:val="24"/>
        </w:rPr>
        <w:t> </w:t>
      </w:r>
      <w:r>
        <w:rPr>
          <w:sz w:val="24"/>
        </w:rPr>
        <w:t>to</w:t>
      </w:r>
      <w:r>
        <w:rPr>
          <w:spacing w:val="-16"/>
          <w:sz w:val="24"/>
        </w:rPr>
        <w:t> </w:t>
      </w:r>
      <w:r>
        <w:rPr>
          <w:sz w:val="24"/>
        </w:rPr>
        <w:t>all</w:t>
      </w:r>
      <w:r>
        <w:rPr>
          <w:spacing w:val="-17"/>
          <w:sz w:val="24"/>
        </w:rPr>
        <w:t> </w:t>
      </w:r>
      <w:r>
        <w:rPr>
          <w:sz w:val="24"/>
        </w:rPr>
        <w:t>staff The scope of this document covers:</w:t>
      </w:r>
    </w:p>
    <w:p>
      <w:pPr>
        <w:pStyle w:val="ListParagraph"/>
        <w:numPr>
          <w:ilvl w:val="0"/>
          <w:numId w:val="3"/>
        </w:numPr>
        <w:tabs>
          <w:tab w:pos="1240" w:val="left" w:leader="none"/>
        </w:tabs>
        <w:spacing w:line="293" w:lineRule="exact" w:before="20" w:after="0"/>
        <w:ind w:left="1240" w:right="0" w:hanging="360"/>
        <w:jc w:val="left"/>
        <w:rPr>
          <w:sz w:val="24"/>
        </w:rPr>
      </w:pPr>
      <w:r>
        <w:rPr>
          <w:sz w:val="24"/>
        </w:rPr>
        <w:t>All</w:t>
      </w:r>
      <w:r>
        <w:rPr>
          <w:spacing w:val="-3"/>
          <w:sz w:val="24"/>
        </w:rPr>
        <w:t> </w:t>
      </w:r>
      <w:r>
        <w:rPr>
          <w:sz w:val="24"/>
        </w:rPr>
        <w:t>permanent</w:t>
      </w:r>
      <w:r>
        <w:rPr>
          <w:spacing w:val="-3"/>
          <w:sz w:val="24"/>
        </w:rPr>
        <w:t> </w:t>
      </w:r>
      <w:r>
        <w:rPr>
          <w:sz w:val="24"/>
        </w:rPr>
        <w:t>employees</w:t>
      </w:r>
      <w:r>
        <w:rPr>
          <w:spacing w:val="-1"/>
          <w:sz w:val="24"/>
        </w:rPr>
        <w:t> </w:t>
      </w:r>
      <w:r>
        <w:rPr>
          <w:sz w:val="24"/>
        </w:rPr>
        <w:t>of</w:t>
      </w:r>
      <w:r>
        <w:rPr>
          <w:spacing w:val="-4"/>
          <w:sz w:val="24"/>
        </w:rPr>
        <w:t> </w:t>
      </w:r>
      <w:r>
        <w:rPr>
          <w:sz w:val="24"/>
        </w:rPr>
        <w:t>the</w:t>
      </w:r>
      <w:r>
        <w:rPr>
          <w:spacing w:val="1"/>
          <w:sz w:val="24"/>
        </w:rPr>
        <w:t> </w:t>
      </w:r>
      <w:r>
        <w:rPr>
          <w:sz w:val="24"/>
        </w:rPr>
        <w:t>ICB </w:t>
      </w:r>
      <w:r>
        <w:rPr>
          <w:spacing w:val="-4"/>
          <w:sz w:val="24"/>
        </w:rPr>
        <w:t>and;</w:t>
      </w:r>
    </w:p>
    <w:p>
      <w:pPr>
        <w:pStyle w:val="ListParagraph"/>
        <w:numPr>
          <w:ilvl w:val="0"/>
          <w:numId w:val="3"/>
        </w:numPr>
        <w:tabs>
          <w:tab w:pos="1240" w:val="left" w:leader="none"/>
        </w:tabs>
        <w:spacing w:line="240" w:lineRule="auto" w:before="0" w:after="0"/>
        <w:ind w:left="1240" w:right="399" w:hanging="360"/>
        <w:jc w:val="left"/>
        <w:rPr>
          <w:sz w:val="24"/>
        </w:rPr>
      </w:pPr>
      <w:r>
        <w:rPr>
          <w:sz w:val="24"/>
        </w:rPr>
        <w:t>Staff</w:t>
      </w:r>
      <w:r>
        <w:rPr>
          <w:spacing w:val="35"/>
          <w:sz w:val="24"/>
        </w:rPr>
        <w:t> </w:t>
      </w:r>
      <w:r>
        <w:rPr>
          <w:sz w:val="24"/>
        </w:rPr>
        <w:t>working</w:t>
      </w:r>
      <w:r>
        <w:rPr>
          <w:spacing w:val="35"/>
          <w:sz w:val="24"/>
        </w:rPr>
        <w:t> </w:t>
      </w:r>
      <w:r>
        <w:rPr>
          <w:sz w:val="24"/>
        </w:rPr>
        <w:t>on</w:t>
      </w:r>
      <w:r>
        <w:rPr>
          <w:spacing w:val="35"/>
          <w:sz w:val="24"/>
        </w:rPr>
        <w:t> </w:t>
      </w:r>
      <w:r>
        <w:rPr>
          <w:sz w:val="24"/>
        </w:rPr>
        <w:t>behalf</w:t>
      </w:r>
      <w:r>
        <w:rPr>
          <w:spacing w:val="35"/>
          <w:sz w:val="24"/>
        </w:rPr>
        <w:t> </w:t>
      </w:r>
      <w:r>
        <w:rPr>
          <w:sz w:val="24"/>
        </w:rPr>
        <w:t>of</w:t>
      </w:r>
      <w:r>
        <w:rPr>
          <w:spacing w:val="35"/>
          <w:sz w:val="24"/>
        </w:rPr>
        <w:t> </w:t>
      </w:r>
      <w:r>
        <w:rPr>
          <w:sz w:val="24"/>
        </w:rPr>
        <w:t>the</w:t>
      </w:r>
      <w:r>
        <w:rPr>
          <w:spacing w:val="40"/>
          <w:sz w:val="24"/>
        </w:rPr>
        <w:t> </w:t>
      </w:r>
      <w:r>
        <w:rPr>
          <w:sz w:val="24"/>
        </w:rPr>
        <w:t>ICB</w:t>
      </w:r>
      <w:r>
        <w:rPr>
          <w:spacing w:val="35"/>
          <w:sz w:val="24"/>
        </w:rPr>
        <w:t> </w:t>
      </w:r>
      <w:r>
        <w:rPr>
          <w:sz w:val="24"/>
        </w:rPr>
        <w:t>(this</w:t>
      </w:r>
      <w:r>
        <w:rPr>
          <w:spacing w:val="34"/>
          <w:sz w:val="24"/>
        </w:rPr>
        <w:t> </w:t>
      </w:r>
      <w:r>
        <w:rPr>
          <w:sz w:val="24"/>
        </w:rPr>
        <w:t>includes</w:t>
      </w:r>
      <w:r>
        <w:rPr>
          <w:spacing w:val="35"/>
          <w:sz w:val="24"/>
        </w:rPr>
        <w:t> </w:t>
      </w:r>
      <w:r>
        <w:rPr>
          <w:sz w:val="24"/>
        </w:rPr>
        <w:t>contractors,</w:t>
      </w:r>
      <w:r>
        <w:rPr>
          <w:spacing w:val="34"/>
          <w:sz w:val="24"/>
        </w:rPr>
        <w:t> </w:t>
      </w:r>
      <w:r>
        <w:rPr>
          <w:sz w:val="24"/>
        </w:rPr>
        <w:t>temporary</w:t>
      </w:r>
      <w:r>
        <w:rPr>
          <w:spacing w:val="34"/>
          <w:sz w:val="24"/>
        </w:rPr>
        <w:t> </w:t>
      </w:r>
      <w:r>
        <w:rPr>
          <w:sz w:val="24"/>
        </w:rPr>
        <w:t>staff,</w:t>
      </w:r>
      <w:r>
        <w:rPr>
          <w:spacing w:val="35"/>
          <w:sz w:val="24"/>
        </w:rPr>
        <w:t> </w:t>
      </w:r>
      <w:r>
        <w:rPr>
          <w:sz w:val="24"/>
        </w:rPr>
        <w:t>and </w:t>
      </w:r>
      <w:r>
        <w:rPr>
          <w:spacing w:val="-2"/>
          <w:sz w:val="24"/>
        </w:rPr>
        <w:t>secondees).</w:t>
      </w:r>
    </w:p>
    <w:p>
      <w:pPr>
        <w:pStyle w:val="BodyText"/>
        <w:spacing w:before="274"/>
        <w:ind w:left="520" w:right="395"/>
        <w:jc w:val="both"/>
      </w:pPr>
      <w:r>
        <w:rPr/>
        <w:t>The ICB recognises the need for an appropriate balance between openness and confidentiality in the management and use of information. The ICB fully supports the principles of corporate governance and recognises its public accountability, but equally places importance on the confidentiality of, and the security arrangements to safeguard information.</w:t>
      </w:r>
      <w:r>
        <w:rPr>
          <w:spacing w:val="40"/>
        </w:rPr>
        <w:t> </w:t>
      </w:r>
      <w:r>
        <w:rPr/>
        <w:t>The ICB also recognises</w:t>
      </w:r>
      <w:r>
        <w:rPr>
          <w:spacing w:val="-1"/>
        </w:rPr>
        <w:t> </w:t>
      </w:r>
      <w:r>
        <w:rPr/>
        <w:t>the need to share information in a controlled</w:t>
      </w:r>
      <w:r>
        <w:rPr>
          <w:spacing w:val="-2"/>
        </w:rPr>
        <w:t> </w:t>
      </w:r>
      <w:r>
        <w:rPr/>
        <w:t>manner. The ICB believes that accurate, timely and relevant information is essential to deliver the highest quality health care.</w:t>
      </w:r>
      <w:r>
        <w:rPr>
          <w:spacing w:val="40"/>
        </w:rPr>
        <w:t> </w:t>
      </w:r>
      <w:r>
        <w:rPr/>
        <w:t>As such it is the responsibility of managers and staff to ensure and promote the quality of information and to actively use information in decision making </w:t>
      </w:r>
      <w:r>
        <w:rPr>
          <w:spacing w:val="-2"/>
        </w:rPr>
        <w:t>processes.</w:t>
      </w:r>
    </w:p>
    <w:p>
      <w:pPr>
        <w:pStyle w:val="Heading2"/>
        <w:numPr>
          <w:ilvl w:val="0"/>
          <w:numId w:val="2"/>
        </w:numPr>
        <w:tabs>
          <w:tab w:pos="880" w:val="left" w:leader="none"/>
        </w:tabs>
        <w:spacing w:line="240" w:lineRule="auto" w:before="239" w:after="0"/>
        <w:ind w:left="880" w:right="0" w:hanging="360"/>
        <w:jc w:val="left"/>
      </w:pPr>
      <w:bookmarkStart w:name="_bookmark7" w:id="8"/>
      <w:bookmarkEnd w:id="8"/>
      <w:r>
        <w:rPr/>
      </w:r>
      <w:r>
        <w:rPr>
          <w:color w:val="1C1F62"/>
        </w:rPr>
        <w:t>Duties</w:t>
      </w:r>
      <w:r>
        <w:rPr>
          <w:color w:val="1C1F62"/>
          <w:spacing w:val="-3"/>
        </w:rPr>
        <w:t> </w:t>
      </w:r>
      <w:r>
        <w:rPr>
          <w:color w:val="1C1F62"/>
        </w:rPr>
        <w:t>–</w:t>
      </w:r>
      <w:r>
        <w:rPr>
          <w:color w:val="1C1F62"/>
          <w:spacing w:val="-3"/>
        </w:rPr>
        <w:t> </w:t>
      </w:r>
      <w:r>
        <w:rPr>
          <w:color w:val="1C1F62"/>
        </w:rPr>
        <w:t>legal</w:t>
      </w:r>
      <w:r>
        <w:rPr>
          <w:color w:val="1C1F62"/>
          <w:spacing w:val="-5"/>
        </w:rPr>
        <w:t> </w:t>
      </w:r>
      <w:r>
        <w:rPr>
          <w:color w:val="1C1F62"/>
        </w:rPr>
        <w:t>framework</w:t>
      </w:r>
      <w:r>
        <w:rPr>
          <w:color w:val="1C1F62"/>
          <w:spacing w:val="-5"/>
        </w:rPr>
        <w:t> </w:t>
      </w:r>
      <w:r>
        <w:rPr>
          <w:color w:val="1C1F62"/>
        </w:rPr>
        <w:t>for</w:t>
      </w:r>
      <w:r>
        <w:rPr>
          <w:color w:val="1C1F62"/>
          <w:spacing w:val="-5"/>
        </w:rPr>
        <w:t> </w:t>
      </w:r>
      <w:r>
        <w:rPr>
          <w:color w:val="1C1F62"/>
        </w:rPr>
        <w:t>this </w:t>
      </w:r>
      <w:r>
        <w:rPr>
          <w:color w:val="1C1F62"/>
          <w:spacing w:val="-2"/>
        </w:rPr>
        <w:t>policy</w:t>
      </w:r>
    </w:p>
    <w:p>
      <w:pPr>
        <w:pStyle w:val="BodyText"/>
        <w:spacing w:line="259" w:lineRule="auto" w:before="32"/>
        <w:ind w:left="520" w:right="405"/>
        <w:jc w:val="both"/>
      </w:pPr>
      <w:r>
        <w:rPr/>
        <w:t>The ICB regards all identifiable personal information as confidential except where national policy on accountability and openness requires otherwise.</w:t>
      </w:r>
    </w:p>
    <w:p>
      <w:pPr>
        <w:pStyle w:val="BodyText"/>
        <w:spacing w:line="259" w:lineRule="auto" w:before="160"/>
        <w:ind w:left="520" w:right="396"/>
        <w:jc w:val="both"/>
      </w:pPr>
      <w:r>
        <w:rPr/>
        <w:t>The ICB will maintain policies to ensure compliance with Data Protection Legislation.</w:t>
      </w:r>
      <w:r>
        <w:rPr>
          <w:spacing w:val="40"/>
        </w:rPr>
        <w:t> </w:t>
      </w:r>
      <w:r>
        <w:rPr/>
        <w:t>This includes the UK General Data Protection Regulation (UK GDPR), the Data Protection Act (DPA) 2018, the Law Enforcement Directive (Directive (EU) 2016/680)</w:t>
      </w:r>
      <w:r>
        <w:rPr/>
        <w:t> (LED) and any applicable national Laws implementing them as amended from time to time.</w:t>
      </w:r>
    </w:p>
    <w:p>
      <w:pPr>
        <w:pStyle w:val="BodyText"/>
        <w:spacing w:line="259" w:lineRule="auto" w:before="159"/>
        <w:ind w:left="520" w:right="394"/>
        <w:jc w:val="both"/>
      </w:pPr>
      <w:r>
        <w:rPr/>
        <w:t>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w:t>
      </w:r>
    </w:p>
    <w:p>
      <w:pPr>
        <w:spacing w:after="0" w:line="259" w:lineRule="auto"/>
        <w:jc w:val="both"/>
        <w:sectPr>
          <w:pgSz w:w="11910" w:h="16840"/>
          <w:pgMar w:header="570" w:footer="1032" w:top="1200" w:bottom="1220" w:left="560" w:right="680"/>
        </w:sectPr>
      </w:pPr>
    </w:p>
    <w:p>
      <w:pPr>
        <w:pStyle w:val="BodyText"/>
        <w:spacing w:before="206"/>
      </w:pPr>
    </w:p>
    <w:p>
      <w:pPr>
        <w:pStyle w:val="BodyText"/>
        <w:spacing w:line="259" w:lineRule="auto"/>
        <w:ind w:left="520" w:right="396"/>
        <w:jc w:val="both"/>
      </w:pPr>
      <w:r>
        <w:rPr/>
        <w:t>The ICB, when acting as a Controller, will identify and record a condition for processing, as identified by the UK GDPR under Articles 6 and 9 (where appropriate), for each activity it undertakes.</w:t>
      </w:r>
      <w:r>
        <w:rPr>
          <w:spacing w:val="40"/>
        </w:rPr>
        <w:t> </w:t>
      </w:r>
      <w:r>
        <w:rPr/>
        <w:t>When</w:t>
      </w:r>
      <w:r>
        <w:rPr>
          <w:spacing w:val="-5"/>
        </w:rPr>
        <w:t> </w:t>
      </w:r>
      <w:r>
        <w:rPr/>
        <w:t>relying</w:t>
      </w:r>
      <w:r>
        <w:rPr>
          <w:spacing w:val="-4"/>
        </w:rPr>
        <w:t> </w:t>
      </w:r>
      <w:r>
        <w:rPr/>
        <w:t>on</w:t>
      </w:r>
      <w:r>
        <w:rPr>
          <w:spacing w:val="-5"/>
        </w:rPr>
        <w:t> </w:t>
      </w:r>
      <w:r>
        <w:rPr/>
        <w:t>Article</w:t>
      </w:r>
      <w:r>
        <w:rPr>
          <w:spacing w:val="-7"/>
        </w:rPr>
        <w:t> </w:t>
      </w:r>
      <w:r>
        <w:rPr/>
        <w:t>6,</w:t>
      </w:r>
      <w:r>
        <w:rPr>
          <w:spacing w:val="-7"/>
        </w:rPr>
        <w:t> </w:t>
      </w:r>
      <w:r>
        <w:rPr/>
        <w:t>1</w:t>
      </w:r>
      <w:r>
        <w:rPr>
          <w:spacing w:val="-5"/>
        </w:rPr>
        <w:t> </w:t>
      </w:r>
      <w:r>
        <w:rPr/>
        <w:t>(e)</w:t>
      </w:r>
      <w:r>
        <w:rPr>
          <w:spacing w:val="-8"/>
        </w:rPr>
        <w:t> </w:t>
      </w:r>
      <w:r>
        <w:rPr/>
        <w:t>‘processing</w:t>
      </w:r>
      <w:r>
        <w:rPr>
          <w:spacing w:val="-6"/>
        </w:rPr>
        <w:t> </w:t>
      </w:r>
      <w:r>
        <w:rPr/>
        <w:t>is</w:t>
      </w:r>
      <w:r>
        <w:rPr>
          <w:spacing w:val="-6"/>
        </w:rPr>
        <w:t> </w:t>
      </w:r>
      <w:r>
        <w:rPr/>
        <w:t>necessary for</w:t>
      </w:r>
      <w:r>
        <w:rPr>
          <w:spacing w:val="-6"/>
        </w:rPr>
        <w:t> </w:t>
      </w:r>
      <w:r>
        <w:rPr/>
        <w:t>the</w:t>
      </w:r>
      <w:r>
        <w:rPr>
          <w:spacing w:val="-7"/>
        </w:rPr>
        <w:t> </w:t>
      </w:r>
      <w:r>
        <w:rPr/>
        <w:t>performance</w:t>
      </w:r>
      <w:r>
        <w:rPr>
          <w:spacing w:val="-7"/>
        </w:rPr>
        <w:t> </w:t>
      </w:r>
      <w:r>
        <w:rPr/>
        <w:t>of a task carried out in the public interest or in the exercise of official authority vested in the Controller’, the ICB will identify the official authority (legal basis) and record this on relevant records of processing.</w:t>
      </w:r>
    </w:p>
    <w:p>
      <w:pPr>
        <w:pStyle w:val="Heading2"/>
        <w:numPr>
          <w:ilvl w:val="0"/>
          <w:numId w:val="2"/>
        </w:numPr>
        <w:tabs>
          <w:tab w:pos="880" w:val="left" w:leader="none"/>
        </w:tabs>
        <w:spacing w:line="240" w:lineRule="auto" w:before="239" w:after="0"/>
        <w:ind w:left="880" w:right="0" w:hanging="360"/>
        <w:jc w:val="left"/>
      </w:pPr>
      <w:bookmarkStart w:name="_bookmark8" w:id="9"/>
      <w:bookmarkEnd w:id="9"/>
      <w:r>
        <w:rPr/>
      </w:r>
      <w:r>
        <w:rPr>
          <w:color w:val="1C1F62"/>
        </w:rPr>
        <w:t>Responsibilities</w:t>
      </w:r>
      <w:r>
        <w:rPr>
          <w:color w:val="1C1F62"/>
          <w:spacing w:val="-5"/>
        </w:rPr>
        <w:t> </w:t>
      </w:r>
      <w:r>
        <w:rPr>
          <w:color w:val="1C1F62"/>
        </w:rPr>
        <w:t>and</w:t>
      </w:r>
      <w:r>
        <w:rPr>
          <w:color w:val="1C1F62"/>
          <w:spacing w:val="-3"/>
        </w:rPr>
        <w:t> </w:t>
      </w:r>
      <w:r>
        <w:rPr>
          <w:color w:val="1C1F62"/>
          <w:spacing w:val="-2"/>
        </w:rPr>
        <w:t>Accountabilities</w:t>
      </w:r>
    </w:p>
    <w:p>
      <w:pPr>
        <w:pStyle w:val="BodyText"/>
        <w:spacing w:before="95"/>
        <w:rPr>
          <w:rFonts w:ascii="Arial Black"/>
          <w:sz w:val="28"/>
        </w:rPr>
      </w:pPr>
    </w:p>
    <w:p>
      <w:pPr>
        <w:pStyle w:val="Heading4"/>
        <w:spacing w:before="0"/>
      </w:pPr>
      <w:r>
        <w:rPr/>
        <w:t>Executive</w:t>
      </w:r>
      <w:r>
        <w:rPr>
          <w:spacing w:val="-6"/>
        </w:rPr>
        <w:t> </w:t>
      </w:r>
      <w:r>
        <w:rPr/>
        <w:t>Management</w:t>
      </w:r>
      <w:r>
        <w:rPr>
          <w:spacing w:val="-6"/>
        </w:rPr>
        <w:t> </w:t>
      </w:r>
      <w:r>
        <w:rPr>
          <w:spacing w:val="-4"/>
        </w:rPr>
        <w:t>Team</w:t>
      </w:r>
    </w:p>
    <w:p>
      <w:pPr>
        <w:pStyle w:val="BodyText"/>
        <w:spacing w:line="259" w:lineRule="auto" w:before="183"/>
        <w:ind w:left="520" w:right="395"/>
        <w:jc w:val="both"/>
      </w:pPr>
      <w:r>
        <w:rPr/>
        <w:t>It is the role of the ICB Executive Management Team to define the ICBICB policy in respect of Information Governance, considering legislative and NHS requirements. The Executive Management</w:t>
      </w:r>
      <w:r>
        <w:rPr>
          <w:spacing w:val="-2"/>
        </w:rPr>
        <w:t> </w:t>
      </w:r>
      <w:r>
        <w:rPr/>
        <w:t>Team is</w:t>
      </w:r>
      <w:r>
        <w:rPr>
          <w:spacing w:val="-5"/>
        </w:rPr>
        <w:t> </w:t>
      </w:r>
      <w:r>
        <w:rPr/>
        <w:t>also responsible</w:t>
      </w:r>
      <w:r>
        <w:rPr>
          <w:spacing w:val="-1"/>
        </w:rPr>
        <w:t> </w:t>
      </w:r>
      <w:r>
        <w:rPr/>
        <w:t>for</w:t>
      </w:r>
      <w:r>
        <w:rPr>
          <w:spacing w:val="-3"/>
        </w:rPr>
        <w:t> </w:t>
      </w:r>
      <w:r>
        <w:rPr/>
        <w:t>ensuring that</w:t>
      </w:r>
      <w:r>
        <w:rPr>
          <w:spacing w:val="-2"/>
        </w:rPr>
        <w:t> </w:t>
      </w:r>
      <w:r>
        <w:rPr/>
        <w:t>sufficient resources</w:t>
      </w:r>
      <w:r>
        <w:rPr>
          <w:spacing w:val="-2"/>
        </w:rPr>
        <w:t> </w:t>
      </w:r>
      <w:r>
        <w:rPr/>
        <w:t>are provided</w:t>
      </w:r>
      <w:r>
        <w:rPr>
          <w:spacing w:val="-1"/>
        </w:rPr>
        <w:t> </w:t>
      </w:r>
      <w:r>
        <w:rPr/>
        <w:t>to support the requirements of the policy.</w:t>
      </w:r>
    </w:p>
    <w:p>
      <w:pPr>
        <w:pStyle w:val="Heading4"/>
      </w:pPr>
      <w:r>
        <w:rPr/>
        <w:t>BNSSG</w:t>
      </w:r>
      <w:r>
        <w:rPr>
          <w:spacing w:val="-4"/>
        </w:rPr>
        <w:t> </w:t>
      </w:r>
      <w:r>
        <w:rPr/>
        <w:t>Information</w:t>
      </w:r>
      <w:r>
        <w:rPr>
          <w:spacing w:val="-7"/>
        </w:rPr>
        <w:t> </w:t>
      </w:r>
      <w:r>
        <w:rPr/>
        <w:t>Governance</w:t>
      </w:r>
      <w:r>
        <w:rPr>
          <w:spacing w:val="-5"/>
        </w:rPr>
        <w:t> </w:t>
      </w:r>
      <w:r>
        <w:rPr/>
        <w:t>Group</w:t>
      </w:r>
      <w:r>
        <w:rPr>
          <w:spacing w:val="-4"/>
        </w:rPr>
        <w:t> (IGG)</w:t>
      </w:r>
    </w:p>
    <w:p>
      <w:pPr>
        <w:pStyle w:val="BodyText"/>
        <w:spacing w:line="259" w:lineRule="auto" w:before="182"/>
        <w:ind w:left="520" w:right="397"/>
        <w:jc w:val="both"/>
      </w:pPr>
      <w:r>
        <w:rPr/>
        <w:t>The Information Governance Group (IGG) oversees and</w:t>
      </w:r>
      <w:r>
        <w:rPr>
          <w:spacing w:val="-1"/>
        </w:rPr>
        <w:t> </w:t>
      </w:r>
      <w:r>
        <w:rPr/>
        <w:t>provides leadership within BNSSG ICB for</w:t>
      </w:r>
      <w:r>
        <w:rPr>
          <w:spacing w:val="-2"/>
        </w:rPr>
        <w:t> </w:t>
      </w:r>
      <w:r>
        <w:rPr/>
        <w:t>Information Governance (IG),</w:t>
      </w:r>
      <w:r>
        <w:rPr>
          <w:spacing w:val="-1"/>
        </w:rPr>
        <w:t> </w:t>
      </w:r>
      <w:r>
        <w:rPr/>
        <w:t>ensuring that it</w:t>
      </w:r>
      <w:r>
        <w:rPr>
          <w:spacing w:val="-1"/>
        </w:rPr>
        <w:t> </w:t>
      </w:r>
      <w:r>
        <w:rPr/>
        <w:t>complies</w:t>
      </w:r>
      <w:r>
        <w:rPr>
          <w:spacing w:val="-1"/>
        </w:rPr>
        <w:t> </w:t>
      </w:r>
      <w:r>
        <w:rPr/>
        <w:t>with</w:t>
      </w:r>
      <w:r>
        <w:rPr>
          <w:spacing w:val="-2"/>
        </w:rPr>
        <w:t> </w:t>
      </w:r>
      <w:r>
        <w:rPr/>
        <w:t>statutory</w:t>
      </w:r>
      <w:r>
        <w:rPr>
          <w:spacing w:val="-2"/>
        </w:rPr>
        <w:t> </w:t>
      </w:r>
      <w:r>
        <w:rPr/>
        <w:t>responsibilities and fulfils the requirements of data protection legislation, the common law duty of confidentiality and The Records Management Code of Practice for Health and Social Care Act 2012.</w:t>
      </w:r>
    </w:p>
    <w:p>
      <w:pPr>
        <w:pStyle w:val="Heading4"/>
      </w:pPr>
      <w:r>
        <w:rPr/>
        <w:t>Chief</w:t>
      </w:r>
      <w:r>
        <w:rPr>
          <w:spacing w:val="-5"/>
        </w:rPr>
        <w:t> </w:t>
      </w:r>
      <w:r>
        <w:rPr>
          <w:spacing w:val="-2"/>
        </w:rPr>
        <w:t>Executive</w:t>
      </w:r>
    </w:p>
    <w:p>
      <w:pPr>
        <w:pStyle w:val="BodyText"/>
        <w:spacing w:line="259" w:lineRule="auto" w:before="182"/>
        <w:ind w:left="520" w:right="401"/>
        <w:jc w:val="both"/>
      </w:pPr>
      <w:r>
        <w:rPr/>
        <w:t>The ICB Chief Executive has overall responsibility for Information Governance within the organisation.</w:t>
      </w:r>
      <w:r>
        <w:rPr>
          <w:spacing w:val="40"/>
        </w:rPr>
        <w:t> </w:t>
      </w:r>
      <w:r>
        <w:rPr/>
        <w:t>They</w:t>
      </w:r>
      <w:r>
        <w:rPr>
          <w:spacing w:val="-10"/>
        </w:rPr>
        <w:t> </w:t>
      </w:r>
      <w:r>
        <w:rPr/>
        <w:t>are</w:t>
      </w:r>
      <w:r>
        <w:rPr>
          <w:spacing w:val="-10"/>
        </w:rPr>
        <w:t> </w:t>
      </w:r>
      <w:r>
        <w:rPr/>
        <w:t>responsible</w:t>
      </w:r>
      <w:r>
        <w:rPr>
          <w:spacing w:val="-7"/>
        </w:rPr>
        <w:t> </w:t>
      </w:r>
      <w:r>
        <w:rPr/>
        <w:t>for</w:t>
      </w:r>
      <w:r>
        <w:rPr>
          <w:spacing w:val="-8"/>
        </w:rPr>
        <w:t> </w:t>
      </w:r>
      <w:r>
        <w:rPr/>
        <w:t>the</w:t>
      </w:r>
      <w:r>
        <w:rPr>
          <w:spacing w:val="-9"/>
        </w:rPr>
        <w:t> </w:t>
      </w:r>
      <w:r>
        <w:rPr/>
        <w:t>management</w:t>
      </w:r>
      <w:r>
        <w:rPr>
          <w:spacing w:val="-10"/>
        </w:rPr>
        <w:t> </w:t>
      </w:r>
      <w:r>
        <w:rPr/>
        <w:t>of</w:t>
      </w:r>
      <w:r>
        <w:rPr>
          <w:spacing w:val="-7"/>
        </w:rPr>
        <w:t> </w:t>
      </w:r>
      <w:r>
        <w:rPr/>
        <w:t>the</w:t>
      </w:r>
      <w:r>
        <w:rPr>
          <w:spacing w:val="-7"/>
        </w:rPr>
        <w:t> </w:t>
      </w:r>
      <w:r>
        <w:rPr/>
        <w:t>organisation</w:t>
      </w:r>
      <w:r>
        <w:rPr>
          <w:spacing w:val="-9"/>
        </w:rPr>
        <w:t> </w:t>
      </w:r>
      <w:r>
        <w:rPr/>
        <w:t>and</w:t>
      </w:r>
      <w:r>
        <w:rPr>
          <w:spacing w:val="-9"/>
        </w:rPr>
        <w:t> </w:t>
      </w:r>
      <w:r>
        <w:rPr/>
        <w:t>for</w:t>
      </w:r>
      <w:r>
        <w:rPr>
          <w:spacing w:val="-8"/>
        </w:rPr>
        <w:t> </w:t>
      </w:r>
      <w:r>
        <w:rPr/>
        <w:t>ensuring appropriate mechanisms are in place to support service delivery and continuity. The management of information risk and information governance practice is now required within the Statement</w:t>
      </w:r>
      <w:r>
        <w:rPr>
          <w:spacing w:val="-1"/>
        </w:rPr>
        <w:t> </w:t>
      </w:r>
      <w:r>
        <w:rPr/>
        <w:t>of</w:t>
      </w:r>
      <w:r>
        <w:rPr>
          <w:spacing w:val="-1"/>
        </w:rPr>
        <w:t> </w:t>
      </w:r>
      <w:r>
        <w:rPr/>
        <w:t>Internal Control which the Accountable</w:t>
      </w:r>
      <w:r>
        <w:rPr>
          <w:spacing w:val="-1"/>
        </w:rPr>
        <w:t> </w:t>
      </w:r>
      <w:r>
        <w:rPr/>
        <w:t>Officer is required to sign annually.</w:t>
      </w:r>
    </w:p>
    <w:p>
      <w:pPr>
        <w:pStyle w:val="Heading4"/>
      </w:pPr>
      <w:r>
        <w:rPr/>
        <w:t>Senior</w:t>
      </w:r>
      <w:r>
        <w:rPr>
          <w:spacing w:val="-5"/>
        </w:rPr>
        <w:t> </w:t>
      </w:r>
      <w:r>
        <w:rPr/>
        <w:t>Information</w:t>
      </w:r>
      <w:r>
        <w:rPr>
          <w:spacing w:val="-4"/>
        </w:rPr>
        <w:t> </w:t>
      </w:r>
      <w:r>
        <w:rPr/>
        <w:t>Risk</w:t>
      </w:r>
      <w:r>
        <w:rPr>
          <w:spacing w:val="-4"/>
        </w:rPr>
        <w:t> </w:t>
      </w:r>
      <w:r>
        <w:rPr/>
        <w:t>Owner</w:t>
      </w:r>
      <w:r>
        <w:rPr>
          <w:spacing w:val="-4"/>
        </w:rPr>
        <w:t> </w:t>
      </w:r>
      <w:r>
        <w:rPr>
          <w:spacing w:val="-2"/>
        </w:rPr>
        <w:t>(SIRO)</w:t>
      </w:r>
    </w:p>
    <w:p>
      <w:pPr>
        <w:pStyle w:val="BodyText"/>
        <w:spacing w:line="259" w:lineRule="auto" w:before="181"/>
        <w:ind w:left="520" w:right="396"/>
        <w:jc w:val="both"/>
      </w:pPr>
      <w:r>
        <w:rPr/>
        <w:t>The</w:t>
      </w:r>
      <w:r>
        <w:rPr>
          <w:spacing w:val="-5"/>
        </w:rPr>
        <w:t> </w:t>
      </w:r>
      <w:r>
        <w:rPr/>
        <w:t>Senior</w:t>
      </w:r>
      <w:r>
        <w:rPr>
          <w:spacing w:val="-3"/>
        </w:rPr>
        <w:t> </w:t>
      </w:r>
      <w:r>
        <w:rPr/>
        <w:t>Information</w:t>
      </w:r>
      <w:r>
        <w:rPr>
          <w:spacing w:val="-5"/>
        </w:rPr>
        <w:t> </w:t>
      </w:r>
      <w:r>
        <w:rPr/>
        <w:t>Risk</w:t>
      </w:r>
      <w:r>
        <w:rPr>
          <w:spacing w:val="-3"/>
        </w:rPr>
        <w:t> </w:t>
      </w:r>
      <w:r>
        <w:rPr/>
        <w:t>Owner</w:t>
      </w:r>
      <w:r>
        <w:rPr>
          <w:spacing w:val="-3"/>
        </w:rPr>
        <w:t> </w:t>
      </w:r>
      <w:r>
        <w:rPr/>
        <w:t>for</w:t>
      </w:r>
      <w:r>
        <w:rPr>
          <w:spacing w:val="-3"/>
        </w:rPr>
        <w:t> </w:t>
      </w:r>
      <w:r>
        <w:rPr/>
        <w:t>the</w:t>
      </w:r>
      <w:r>
        <w:rPr>
          <w:spacing w:val="-5"/>
        </w:rPr>
        <w:t> </w:t>
      </w:r>
      <w:r>
        <w:rPr/>
        <w:t>ICB</w:t>
      </w:r>
      <w:r>
        <w:rPr>
          <w:spacing w:val="-3"/>
        </w:rPr>
        <w:t> </w:t>
      </w:r>
      <w:r>
        <w:rPr/>
        <w:t>is</w:t>
      </w:r>
      <w:r>
        <w:rPr>
          <w:spacing w:val="-5"/>
        </w:rPr>
        <w:t> </w:t>
      </w:r>
      <w:r>
        <w:rPr/>
        <w:t>an</w:t>
      </w:r>
      <w:r>
        <w:rPr>
          <w:spacing w:val="-5"/>
        </w:rPr>
        <w:t> </w:t>
      </w:r>
      <w:r>
        <w:rPr/>
        <w:t>executive</w:t>
      </w:r>
      <w:r>
        <w:rPr>
          <w:spacing w:val="-5"/>
        </w:rPr>
        <w:t> </w:t>
      </w:r>
      <w:r>
        <w:rPr/>
        <w:t>board</w:t>
      </w:r>
      <w:r>
        <w:rPr>
          <w:spacing w:val="-5"/>
        </w:rPr>
        <w:t> </w:t>
      </w:r>
      <w:r>
        <w:rPr/>
        <w:t>member</w:t>
      </w:r>
      <w:r>
        <w:rPr>
          <w:spacing w:val="-3"/>
        </w:rPr>
        <w:t> </w:t>
      </w:r>
      <w:r>
        <w:rPr/>
        <w:t>with</w:t>
      </w:r>
      <w:r>
        <w:rPr>
          <w:spacing w:val="-5"/>
        </w:rPr>
        <w:t> </w:t>
      </w:r>
      <w:r>
        <w:rPr/>
        <w:t>allocated lead responsibility for the organisation’s information risks and provides the focus for management of information risk at executive management level. The Chief Executive must receive assurances from the SIRO that information risk is being managed suitably and successfully throughout the ICB, and for any services contracted by the organisation. The Caldicott</w:t>
      </w:r>
      <w:r>
        <w:rPr>
          <w:spacing w:val="-3"/>
        </w:rPr>
        <w:t> </w:t>
      </w:r>
      <w:r>
        <w:rPr/>
        <w:t>Guardian,</w:t>
      </w:r>
      <w:r>
        <w:rPr>
          <w:spacing w:val="-3"/>
        </w:rPr>
        <w:t> </w:t>
      </w:r>
      <w:r>
        <w:rPr/>
        <w:t>the</w:t>
      </w:r>
      <w:r>
        <w:rPr>
          <w:spacing w:val="-3"/>
        </w:rPr>
        <w:t> </w:t>
      </w:r>
      <w:r>
        <w:rPr/>
        <w:t>Data</w:t>
      </w:r>
      <w:r>
        <w:rPr>
          <w:spacing w:val="-2"/>
        </w:rPr>
        <w:t> </w:t>
      </w:r>
      <w:r>
        <w:rPr/>
        <w:t>Protection</w:t>
      </w:r>
      <w:r>
        <w:rPr>
          <w:spacing w:val="-3"/>
        </w:rPr>
        <w:t> </w:t>
      </w:r>
      <w:r>
        <w:rPr/>
        <w:t>Officer,</w:t>
      </w:r>
      <w:r>
        <w:rPr>
          <w:spacing w:val="-3"/>
        </w:rPr>
        <w:t> </w:t>
      </w:r>
      <w:r>
        <w:rPr/>
        <w:t>the</w:t>
      </w:r>
      <w:r>
        <w:rPr>
          <w:spacing w:val="-3"/>
        </w:rPr>
        <w:t> </w:t>
      </w:r>
      <w:r>
        <w:rPr/>
        <w:t>IG</w:t>
      </w:r>
      <w:r>
        <w:rPr>
          <w:spacing w:val="-3"/>
        </w:rPr>
        <w:t> </w:t>
      </w:r>
      <w:r>
        <w:rPr/>
        <w:t>Manager</w:t>
      </w:r>
      <w:r>
        <w:rPr>
          <w:spacing w:val="-3"/>
        </w:rPr>
        <w:t> </w:t>
      </w:r>
      <w:r>
        <w:rPr/>
        <w:t>(SCW),</w:t>
      </w:r>
      <w:r>
        <w:rPr>
          <w:spacing w:val="-3"/>
        </w:rPr>
        <w:t> </w:t>
      </w:r>
      <w:r>
        <w:rPr/>
        <w:t>and</w:t>
      </w:r>
      <w:r>
        <w:rPr>
          <w:spacing w:val="-3"/>
        </w:rPr>
        <w:t> </w:t>
      </w:r>
      <w:r>
        <w:rPr/>
        <w:t>the</w:t>
      </w:r>
      <w:r>
        <w:rPr>
          <w:spacing w:val="-3"/>
        </w:rPr>
        <w:t> </w:t>
      </w:r>
      <w:r>
        <w:rPr/>
        <w:t>Information Asset Owners (IAOs)</w:t>
      </w:r>
      <w:r>
        <w:rPr/>
        <w:t> provide</w:t>
      </w:r>
      <w:r>
        <w:rPr/>
        <w:t> support</w:t>
      </w:r>
      <w:r>
        <w:rPr/>
        <w:t> to</w:t>
      </w:r>
      <w:r>
        <w:rPr/>
        <w:t> the</w:t>
      </w:r>
      <w:r>
        <w:rPr/>
        <w:t> SIRO.</w:t>
      </w:r>
      <w:r>
        <w:rPr>
          <w:spacing w:val="40"/>
        </w:rPr>
        <w:t> </w:t>
      </w:r>
      <w:r>
        <w:rPr/>
        <w:t>The SCW Information Governance Manager will support the SIRO in fulfilling this role.</w:t>
      </w:r>
      <w:r>
        <w:rPr>
          <w:spacing w:val="40"/>
        </w:rPr>
        <w:t> </w:t>
      </w:r>
      <w:r>
        <w:rPr/>
        <w:t>In the absence of the SIRO there is a Deputy SIRO.</w:t>
      </w:r>
    </w:p>
    <w:p>
      <w:pPr>
        <w:pStyle w:val="Heading4"/>
      </w:pPr>
      <w:r>
        <w:rPr/>
        <w:t>Caldicott</w:t>
      </w:r>
      <w:r>
        <w:rPr>
          <w:spacing w:val="-7"/>
        </w:rPr>
        <w:t> </w:t>
      </w:r>
      <w:r>
        <w:rPr>
          <w:spacing w:val="-2"/>
        </w:rPr>
        <w:t>Guardian</w:t>
      </w:r>
    </w:p>
    <w:p>
      <w:pPr>
        <w:pStyle w:val="BodyText"/>
        <w:spacing w:line="259" w:lineRule="auto" w:before="182"/>
        <w:ind w:left="520" w:right="404"/>
        <w:jc w:val="both"/>
      </w:pPr>
      <w:r>
        <w:rPr/>
        <w:t>The</w:t>
      </w:r>
      <w:r>
        <w:rPr>
          <w:spacing w:val="-12"/>
        </w:rPr>
        <w:t> </w:t>
      </w:r>
      <w:r>
        <w:rPr/>
        <w:t>Caldicott</w:t>
      </w:r>
      <w:r>
        <w:rPr>
          <w:spacing w:val="-12"/>
        </w:rPr>
        <w:t> </w:t>
      </w:r>
      <w:r>
        <w:rPr/>
        <w:t>Guardian</w:t>
      </w:r>
      <w:r>
        <w:rPr>
          <w:spacing w:val="-14"/>
        </w:rPr>
        <w:t> </w:t>
      </w:r>
      <w:r>
        <w:rPr/>
        <w:t>is</w:t>
      </w:r>
      <w:r>
        <w:rPr>
          <w:spacing w:val="-13"/>
        </w:rPr>
        <w:t> </w:t>
      </w:r>
      <w:r>
        <w:rPr/>
        <w:t>a</w:t>
      </w:r>
      <w:r>
        <w:rPr>
          <w:spacing w:val="-14"/>
        </w:rPr>
        <w:t> </w:t>
      </w:r>
      <w:r>
        <w:rPr/>
        <w:t>member</w:t>
      </w:r>
      <w:r>
        <w:rPr>
          <w:spacing w:val="-16"/>
        </w:rPr>
        <w:t> </w:t>
      </w:r>
      <w:r>
        <w:rPr/>
        <w:t>of</w:t>
      </w:r>
      <w:r>
        <w:rPr>
          <w:spacing w:val="-14"/>
        </w:rPr>
        <w:t> </w:t>
      </w:r>
      <w:r>
        <w:rPr/>
        <w:t>the</w:t>
      </w:r>
      <w:r>
        <w:rPr>
          <w:spacing w:val="-14"/>
        </w:rPr>
        <w:t> </w:t>
      </w:r>
      <w:r>
        <w:rPr/>
        <w:t>Executive</w:t>
      </w:r>
      <w:r>
        <w:rPr>
          <w:spacing w:val="-12"/>
        </w:rPr>
        <w:t> </w:t>
      </w:r>
      <w:r>
        <w:rPr/>
        <w:t>Management</w:t>
      </w:r>
      <w:r>
        <w:rPr>
          <w:spacing w:val="-12"/>
        </w:rPr>
        <w:t> </w:t>
      </w:r>
      <w:r>
        <w:rPr/>
        <w:t>Team</w:t>
      </w:r>
      <w:r>
        <w:rPr>
          <w:spacing w:val="-13"/>
        </w:rPr>
        <w:t> </w:t>
      </w:r>
      <w:r>
        <w:rPr/>
        <w:t>and</w:t>
      </w:r>
      <w:r>
        <w:rPr>
          <w:spacing w:val="-14"/>
        </w:rPr>
        <w:t> </w:t>
      </w:r>
      <w:r>
        <w:rPr/>
        <w:t>a</w:t>
      </w:r>
      <w:r>
        <w:rPr>
          <w:spacing w:val="-12"/>
        </w:rPr>
        <w:t> </w:t>
      </w:r>
      <w:r>
        <w:rPr/>
        <w:t>senior</w:t>
      </w:r>
      <w:r>
        <w:rPr>
          <w:spacing w:val="-13"/>
        </w:rPr>
        <w:t> </w:t>
      </w:r>
      <w:r>
        <w:rPr/>
        <w:t>health or</w:t>
      </w:r>
      <w:r>
        <w:rPr>
          <w:spacing w:val="-6"/>
        </w:rPr>
        <w:t> </w:t>
      </w:r>
      <w:r>
        <w:rPr/>
        <w:t>social</w:t>
      </w:r>
      <w:r>
        <w:rPr>
          <w:spacing w:val="-5"/>
        </w:rPr>
        <w:t> </w:t>
      </w:r>
      <w:r>
        <w:rPr/>
        <w:t>care</w:t>
      </w:r>
      <w:r>
        <w:rPr>
          <w:spacing w:val="-5"/>
        </w:rPr>
        <w:t> </w:t>
      </w:r>
      <w:r>
        <w:rPr/>
        <w:t>professional</w:t>
      </w:r>
      <w:r>
        <w:rPr>
          <w:spacing w:val="-6"/>
        </w:rPr>
        <w:t> </w:t>
      </w:r>
      <w:r>
        <w:rPr/>
        <w:t>with</w:t>
      </w:r>
      <w:r>
        <w:rPr>
          <w:spacing w:val="-4"/>
        </w:rPr>
        <w:t> </w:t>
      </w:r>
      <w:r>
        <w:rPr/>
        <w:t>responsibility</w:t>
      </w:r>
      <w:r>
        <w:rPr>
          <w:spacing w:val="-7"/>
        </w:rPr>
        <w:t> </w:t>
      </w:r>
      <w:r>
        <w:rPr/>
        <w:t>for</w:t>
      </w:r>
      <w:r>
        <w:rPr>
          <w:spacing w:val="-6"/>
        </w:rPr>
        <w:t> </w:t>
      </w:r>
      <w:r>
        <w:rPr/>
        <w:t>promoting</w:t>
      </w:r>
      <w:r>
        <w:rPr>
          <w:spacing w:val="-5"/>
        </w:rPr>
        <w:t> </w:t>
      </w:r>
      <w:r>
        <w:rPr/>
        <w:t>clinical</w:t>
      </w:r>
      <w:r>
        <w:rPr>
          <w:spacing w:val="-8"/>
        </w:rPr>
        <w:t> </w:t>
      </w:r>
      <w:r>
        <w:rPr/>
        <w:t>governance</w:t>
      </w:r>
      <w:r>
        <w:rPr>
          <w:spacing w:val="-7"/>
        </w:rPr>
        <w:t> </w:t>
      </w:r>
      <w:r>
        <w:rPr/>
        <w:t>or</w:t>
      </w:r>
      <w:r>
        <w:rPr>
          <w:spacing w:val="-6"/>
        </w:rPr>
        <w:t> </w:t>
      </w:r>
      <w:r>
        <w:rPr/>
        <w:t>equivalent</w:t>
      </w:r>
    </w:p>
    <w:p>
      <w:pPr>
        <w:spacing w:after="0" w:line="259" w:lineRule="auto"/>
        <w:jc w:val="both"/>
        <w:sectPr>
          <w:pgSz w:w="11910" w:h="16840"/>
          <w:pgMar w:header="570" w:footer="1032" w:top="1200" w:bottom="1220" w:left="560" w:right="680"/>
        </w:sectPr>
      </w:pPr>
    </w:p>
    <w:p>
      <w:pPr>
        <w:pStyle w:val="BodyText"/>
        <w:spacing w:before="206"/>
      </w:pPr>
    </w:p>
    <w:p>
      <w:pPr>
        <w:pStyle w:val="BodyText"/>
        <w:spacing w:line="259" w:lineRule="auto"/>
        <w:ind w:left="520" w:right="395"/>
        <w:jc w:val="both"/>
      </w:pPr>
      <w:r>
        <w:rPr/>
        <w:t>functions and advising on confidentiality issues. The Caldicott Guardian acting as the conscience</w:t>
      </w:r>
      <w:r>
        <w:rPr>
          <w:spacing w:val="-2"/>
        </w:rPr>
        <w:t> </w:t>
      </w:r>
      <w:r>
        <w:rPr/>
        <w:t>of</w:t>
      </w:r>
      <w:r>
        <w:rPr>
          <w:spacing w:val="-2"/>
        </w:rPr>
        <w:t> </w:t>
      </w:r>
      <w:r>
        <w:rPr/>
        <w:t>the</w:t>
      </w:r>
      <w:r>
        <w:rPr>
          <w:spacing w:val="-1"/>
        </w:rPr>
        <w:t> </w:t>
      </w:r>
      <w:r>
        <w:rPr/>
        <w:t>organisation</w:t>
      </w:r>
      <w:r>
        <w:rPr>
          <w:spacing w:val="-1"/>
        </w:rPr>
        <w:t> </w:t>
      </w:r>
      <w:r>
        <w:rPr/>
        <w:t>plays</w:t>
      </w:r>
      <w:r>
        <w:rPr>
          <w:spacing w:val="-2"/>
        </w:rPr>
        <w:t> </w:t>
      </w:r>
      <w:r>
        <w:rPr/>
        <w:t>a</w:t>
      </w:r>
      <w:r>
        <w:rPr>
          <w:spacing w:val="-1"/>
        </w:rPr>
        <w:t> </w:t>
      </w:r>
      <w:r>
        <w:rPr/>
        <w:t>key</w:t>
      </w:r>
      <w:r>
        <w:rPr>
          <w:spacing w:val="-2"/>
        </w:rPr>
        <w:t> </w:t>
      </w:r>
      <w:r>
        <w:rPr/>
        <w:t>role in</w:t>
      </w:r>
      <w:r>
        <w:rPr>
          <w:spacing w:val="-2"/>
        </w:rPr>
        <w:t> </w:t>
      </w:r>
      <w:r>
        <w:rPr/>
        <w:t>ensuring</w:t>
      </w:r>
      <w:r>
        <w:rPr>
          <w:spacing w:val="-1"/>
        </w:rPr>
        <w:t> </w:t>
      </w:r>
      <w:r>
        <w:rPr/>
        <w:t>that</w:t>
      </w:r>
      <w:r>
        <w:rPr>
          <w:spacing w:val="-2"/>
        </w:rPr>
        <w:t> </w:t>
      </w:r>
      <w:r>
        <w:rPr/>
        <w:t>the</w:t>
      </w:r>
      <w:r>
        <w:rPr>
          <w:spacing w:val="-1"/>
        </w:rPr>
        <w:t> </w:t>
      </w:r>
      <w:r>
        <w:rPr/>
        <w:t>ICB satisfies</w:t>
      </w:r>
      <w:r>
        <w:rPr>
          <w:spacing w:val="-2"/>
        </w:rPr>
        <w:t> </w:t>
      </w:r>
      <w:r>
        <w:rPr/>
        <w:t>the</w:t>
      </w:r>
      <w:r>
        <w:rPr>
          <w:spacing w:val="-2"/>
        </w:rPr>
        <w:t> </w:t>
      </w:r>
      <w:r>
        <w:rPr/>
        <w:t>highest practical standards</w:t>
      </w:r>
      <w:r>
        <w:rPr>
          <w:spacing w:val="-1"/>
        </w:rPr>
        <w:t> </w:t>
      </w:r>
      <w:r>
        <w:rPr/>
        <w:t>for</w:t>
      </w:r>
      <w:r>
        <w:rPr>
          <w:spacing w:val="-2"/>
        </w:rPr>
        <w:t> </w:t>
      </w:r>
      <w:r>
        <w:rPr/>
        <w:t>handling patient/staff identifiable information. The Caldicott Guardian serves</w:t>
      </w:r>
      <w:r>
        <w:rPr>
          <w:spacing w:val="-8"/>
        </w:rPr>
        <w:t> </w:t>
      </w:r>
      <w:r>
        <w:rPr/>
        <w:t>as</w:t>
      </w:r>
      <w:r>
        <w:rPr>
          <w:spacing w:val="-10"/>
        </w:rPr>
        <w:t> </w:t>
      </w:r>
      <w:r>
        <w:rPr/>
        <w:t>part</w:t>
      </w:r>
      <w:r>
        <w:rPr>
          <w:spacing w:val="-8"/>
        </w:rPr>
        <w:t> </w:t>
      </w:r>
      <w:r>
        <w:rPr/>
        <w:t>of</w:t>
      </w:r>
      <w:r>
        <w:rPr>
          <w:spacing w:val="-10"/>
        </w:rPr>
        <w:t> </w:t>
      </w:r>
      <w:r>
        <w:rPr/>
        <w:t>a</w:t>
      </w:r>
      <w:r>
        <w:rPr>
          <w:spacing w:val="-7"/>
        </w:rPr>
        <w:t> </w:t>
      </w:r>
      <w:r>
        <w:rPr/>
        <w:t>broader</w:t>
      </w:r>
      <w:r>
        <w:rPr>
          <w:spacing w:val="-8"/>
        </w:rPr>
        <w:t> </w:t>
      </w:r>
      <w:r>
        <w:rPr/>
        <w:t>Caldicott</w:t>
      </w:r>
      <w:r>
        <w:rPr>
          <w:spacing w:val="-9"/>
        </w:rPr>
        <w:t> </w:t>
      </w:r>
      <w:r>
        <w:rPr/>
        <w:t>function</w:t>
      </w:r>
      <w:r>
        <w:rPr>
          <w:spacing w:val="-9"/>
        </w:rPr>
        <w:t> </w:t>
      </w:r>
      <w:r>
        <w:rPr/>
        <w:t>and</w:t>
      </w:r>
      <w:r>
        <w:rPr>
          <w:spacing w:val="-9"/>
        </w:rPr>
        <w:t> </w:t>
      </w:r>
      <w:r>
        <w:rPr/>
        <w:t>is</w:t>
      </w:r>
      <w:r>
        <w:rPr>
          <w:spacing w:val="-8"/>
        </w:rPr>
        <w:t> </w:t>
      </w:r>
      <w:r>
        <w:rPr/>
        <w:t>supported</w:t>
      </w:r>
      <w:r>
        <w:rPr>
          <w:spacing w:val="-9"/>
        </w:rPr>
        <w:t> </w:t>
      </w:r>
      <w:r>
        <w:rPr/>
        <w:t>by</w:t>
      </w:r>
      <w:r>
        <w:rPr>
          <w:spacing w:val="-10"/>
        </w:rPr>
        <w:t> </w:t>
      </w:r>
      <w:r>
        <w:rPr/>
        <w:t>the</w:t>
      </w:r>
      <w:r>
        <w:rPr>
          <w:spacing w:val="-7"/>
        </w:rPr>
        <w:t> </w:t>
      </w:r>
      <w:r>
        <w:rPr/>
        <w:t>Data</w:t>
      </w:r>
      <w:r>
        <w:rPr>
          <w:spacing w:val="-7"/>
        </w:rPr>
        <w:t> </w:t>
      </w:r>
      <w:r>
        <w:rPr/>
        <w:t>Protection</w:t>
      </w:r>
      <w:r>
        <w:rPr>
          <w:spacing w:val="-9"/>
        </w:rPr>
        <w:t> </w:t>
      </w:r>
      <w:r>
        <w:rPr/>
        <w:t>Officer and SCW Information Governance Team.</w:t>
      </w:r>
    </w:p>
    <w:p>
      <w:pPr>
        <w:pStyle w:val="Heading4"/>
      </w:pPr>
      <w:r>
        <w:rPr/>
        <w:t>Data</w:t>
      </w:r>
      <w:r>
        <w:rPr>
          <w:spacing w:val="-13"/>
        </w:rPr>
        <w:t> </w:t>
      </w:r>
      <w:r>
        <w:rPr/>
        <w:t>Protection</w:t>
      </w:r>
      <w:r>
        <w:rPr>
          <w:spacing w:val="-13"/>
        </w:rPr>
        <w:t> </w:t>
      </w:r>
      <w:r>
        <w:rPr>
          <w:spacing w:val="-2"/>
        </w:rPr>
        <w:t>Officer</w:t>
      </w:r>
    </w:p>
    <w:p>
      <w:pPr>
        <w:pStyle w:val="BodyText"/>
        <w:spacing w:line="259" w:lineRule="auto" w:before="182"/>
        <w:ind w:left="520" w:right="397"/>
        <w:jc w:val="both"/>
      </w:pPr>
      <w:r>
        <w:rPr/>
        <w:t>The Data Protection Officer (DPO) will report directly to the Governing Body in matters relating to data protection assurance and compliance, without prior oversight by their line </w:t>
      </w:r>
      <w:r>
        <w:rPr>
          <w:spacing w:val="-2"/>
        </w:rPr>
        <w:t>manager.</w:t>
      </w:r>
    </w:p>
    <w:p>
      <w:pPr>
        <w:pStyle w:val="BodyText"/>
        <w:spacing w:line="259" w:lineRule="auto" w:before="160"/>
        <w:ind w:left="520" w:right="395"/>
        <w:jc w:val="both"/>
      </w:pPr>
      <w:r>
        <w:rPr/>
        <w:t>The DPO must ensure that their responsibilities are not influenced in anyway and should a potential conflict of interest arise report this to the highest management level.</w:t>
      </w:r>
    </w:p>
    <w:p>
      <w:pPr>
        <w:pStyle w:val="BodyText"/>
        <w:spacing w:line="259" w:lineRule="auto" w:before="160"/>
        <w:ind w:left="520" w:right="396"/>
        <w:jc w:val="both"/>
      </w:pPr>
      <w:r>
        <w:rPr/>
        <w:t>The DPOs cannot hold a position within the organisation that can be considered a </w:t>
      </w:r>
      <w:r>
        <w:rPr>
          <w:u w:val="single"/>
        </w:rPr>
        <w:t>key</w:t>
      </w:r>
      <w:r>
        <w:rPr/>
        <w:t> decision maker in relation to what personal data is collected and used.</w:t>
      </w:r>
    </w:p>
    <w:p>
      <w:pPr>
        <w:pStyle w:val="BodyText"/>
        <w:spacing w:line="259" w:lineRule="auto" w:before="160"/>
        <w:ind w:left="520" w:right="406"/>
        <w:jc w:val="both"/>
      </w:pPr>
      <w:r>
        <w:rPr/>
        <w:t>They</w:t>
      </w:r>
      <w:r>
        <w:rPr>
          <w:spacing w:val="-8"/>
        </w:rPr>
        <w:t> </w:t>
      </w:r>
      <w:r>
        <w:rPr/>
        <w:t>must</w:t>
      </w:r>
      <w:r>
        <w:rPr>
          <w:spacing w:val="-7"/>
        </w:rPr>
        <w:t> </w:t>
      </w:r>
      <w:r>
        <w:rPr/>
        <w:t>give</w:t>
      </w:r>
      <w:r>
        <w:rPr>
          <w:spacing w:val="-7"/>
        </w:rPr>
        <w:t> </w:t>
      </w:r>
      <w:r>
        <w:rPr/>
        <w:t>due</w:t>
      </w:r>
      <w:r>
        <w:rPr>
          <w:spacing w:val="-7"/>
        </w:rPr>
        <w:t> </w:t>
      </w:r>
      <w:r>
        <w:rPr/>
        <w:t>regard</w:t>
      </w:r>
      <w:r>
        <w:rPr>
          <w:spacing w:val="-8"/>
        </w:rPr>
        <w:t> </w:t>
      </w:r>
      <w:r>
        <w:rPr/>
        <w:t>to</w:t>
      </w:r>
      <w:r>
        <w:rPr>
          <w:spacing w:val="-7"/>
        </w:rPr>
        <w:t> </w:t>
      </w:r>
      <w:r>
        <w:rPr/>
        <w:t>the</w:t>
      </w:r>
      <w:r>
        <w:rPr>
          <w:spacing w:val="-7"/>
        </w:rPr>
        <w:t> </w:t>
      </w:r>
      <w:r>
        <w:rPr/>
        <w:t>risks</w:t>
      </w:r>
      <w:r>
        <w:rPr>
          <w:spacing w:val="-8"/>
        </w:rPr>
        <w:t> </w:t>
      </w:r>
      <w:r>
        <w:rPr/>
        <w:t>associated</w:t>
      </w:r>
      <w:r>
        <w:rPr>
          <w:spacing w:val="-7"/>
        </w:rPr>
        <w:t> </w:t>
      </w:r>
      <w:r>
        <w:rPr/>
        <w:t>with</w:t>
      </w:r>
      <w:r>
        <w:rPr>
          <w:spacing w:val="-7"/>
        </w:rPr>
        <w:t> </w:t>
      </w:r>
      <w:r>
        <w:rPr/>
        <w:t>the</w:t>
      </w:r>
      <w:r>
        <w:rPr>
          <w:spacing w:val="-7"/>
        </w:rPr>
        <w:t> </w:t>
      </w:r>
      <w:r>
        <w:rPr/>
        <w:t>processing</w:t>
      </w:r>
      <w:r>
        <w:rPr>
          <w:spacing w:val="-7"/>
        </w:rPr>
        <w:t> </w:t>
      </w:r>
      <w:r>
        <w:rPr/>
        <w:t>of</w:t>
      </w:r>
      <w:r>
        <w:rPr>
          <w:spacing w:val="-7"/>
        </w:rPr>
        <w:t> </w:t>
      </w:r>
      <w:r>
        <w:rPr/>
        <w:t>data</w:t>
      </w:r>
      <w:r>
        <w:rPr>
          <w:spacing w:val="-7"/>
        </w:rPr>
        <w:t> </w:t>
      </w:r>
      <w:r>
        <w:rPr/>
        <w:t>undertaken</w:t>
      </w:r>
      <w:r>
        <w:rPr>
          <w:spacing w:val="-7"/>
        </w:rPr>
        <w:t> </w:t>
      </w:r>
      <w:r>
        <w:rPr/>
        <w:t>by the organisation and work with the SIRO and Caldicott Guardian to achieve this.</w:t>
      </w:r>
    </w:p>
    <w:p>
      <w:pPr>
        <w:pStyle w:val="BodyText"/>
        <w:spacing w:line="259" w:lineRule="auto" w:before="160"/>
        <w:ind w:left="520" w:right="394"/>
        <w:jc w:val="both"/>
      </w:pPr>
      <w:r>
        <w:rPr/>
        <w:t>The Data Protection Officer (DPO) is the person within the ICB that will ensure that Information</w:t>
      </w:r>
      <w:r>
        <w:rPr>
          <w:spacing w:val="-17"/>
        </w:rPr>
        <w:t> </w:t>
      </w:r>
      <w:r>
        <w:rPr/>
        <w:t>Governance</w:t>
      </w:r>
      <w:r>
        <w:rPr>
          <w:spacing w:val="-12"/>
        </w:rPr>
        <w:t> </w:t>
      </w:r>
      <w:r>
        <w:rPr/>
        <w:t>incidents</w:t>
      </w:r>
      <w:r>
        <w:rPr>
          <w:spacing w:val="-16"/>
        </w:rPr>
        <w:t> </w:t>
      </w:r>
      <w:r>
        <w:rPr/>
        <w:t>which</w:t>
      </w:r>
      <w:r>
        <w:rPr>
          <w:spacing w:val="-16"/>
        </w:rPr>
        <w:t> </w:t>
      </w:r>
      <w:r>
        <w:rPr/>
        <w:t>are</w:t>
      </w:r>
      <w:r>
        <w:rPr>
          <w:spacing w:val="-16"/>
        </w:rPr>
        <w:t> </w:t>
      </w:r>
      <w:r>
        <w:rPr/>
        <w:t>likely</w:t>
      </w:r>
      <w:r>
        <w:rPr>
          <w:spacing w:val="-17"/>
        </w:rPr>
        <w:t> </w:t>
      </w:r>
      <w:r>
        <w:rPr/>
        <w:t>to</w:t>
      </w:r>
      <w:r>
        <w:rPr>
          <w:spacing w:val="-15"/>
        </w:rPr>
        <w:t> </w:t>
      </w:r>
      <w:r>
        <w:rPr/>
        <w:t>result</w:t>
      </w:r>
      <w:r>
        <w:rPr>
          <w:spacing w:val="-16"/>
        </w:rPr>
        <w:t> </w:t>
      </w:r>
      <w:r>
        <w:rPr/>
        <w:t>in</w:t>
      </w:r>
      <w:r>
        <w:rPr>
          <w:spacing w:val="-16"/>
        </w:rPr>
        <w:t> </w:t>
      </w:r>
      <w:r>
        <w:rPr/>
        <w:t>a</w:t>
      </w:r>
      <w:r>
        <w:rPr>
          <w:spacing w:val="-16"/>
        </w:rPr>
        <w:t> </w:t>
      </w:r>
      <w:r>
        <w:rPr/>
        <w:t>risk</w:t>
      </w:r>
      <w:r>
        <w:rPr>
          <w:spacing w:val="-16"/>
        </w:rPr>
        <w:t> </w:t>
      </w:r>
      <w:r>
        <w:rPr/>
        <w:t>to</w:t>
      </w:r>
      <w:r>
        <w:rPr>
          <w:spacing w:val="-17"/>
        </w:rPr>
        <w:t> </w:t>
      </w:r>
      <w:r>
        <w:rPr/>
        <w:t>the</w:t>
      </w:r>
      <w:r>
        <w:rPr>
          <w:spacing w:val="-16"/>
        </w:rPr>
        <w:t> </w:t>
      </w:r>
      <w:r>
        <w:rPr/>
        <w:t>rights</w:t>
      </w:r>
      <w:r>
        <w:rPr>
          <w:spacing w:val="-16"/>
        </w:rPr>
        <w:t> </w:t>
      </w:r>
      <w:r>
        <w:rPr/>
        <w:t>and</w:t>
      </w:r>
      <w:r>
        <w:rPr>
          <w:spacing w:val="-16"/>
        </w:rPr>
        <w:t> </w:t>
      </w:r>
      <w:r>
        <w:rPr/>
        <w:t>freedoms of</w:t>
      </w:r>
      <w:r>
        <w:rPr>
          <w:spacing w:val="-4"/>
        </w:rPr>
        <w:t> </w:t>
      </w:r>
      <w:r>
        <w:rPr/>
        <w:t>individuals</w:t>
      </w:r>
      <w:r>
        <w:rPr>
          <w:spacing w:val="-5"/>
        </w:rPr>
        <w:t> </w:t>
      </w:r>
      <w:r>
        <w:rPr/>
        <w:t>the</w:t>
      </w:r>
      <w:r>
        <w:rPr>
          <w:spacing w:val="-5"/>
        </w:rPr>
        <w:t> </w:t>
      </w:r>
      <w:r>
        <w:rPr/>
        <w:t>ICO</w:t>
      </w:r>
      <w:r>
        <w:rPr>
          <w:spacing w:val="-5"/>
        </w:rPr>
        <w:t> </w:t>
      </w:r>
      <w:r>
        <w:rPr/>
        <w:t>(Information</w:t>
      </w:r>
      <w:r>
        <w:rPr>
          <w:spacing w:val="-5"/>
        </w:rPr>
        <w:t> </w:t>
      </w:r>
      <w:r>
        <w:rPr/>
        <w:t>Commissioner’s</w:t>
      </w:r>
      <w:r>
        <w:rPr>
          <w:spacing w:val="-5"/>
        </w:rPr>
        <w:t> </w:t>
      </w:r>
      <w:r>
        <w:rPr/>
        <w:t>Office)</w:t>
      </w:r>
      <w:r>
        <w:rPr>
          <w:spacing w:val="-6"/>
        </w:rPr>
        <w:t> </w:t>
      </w:r>
      <w:r>
        <w:rPr/>
        <w:t>is</w:t>
      </w:r>
      <w:r>
        <w:rPr>
          <w:spacing w:val="-6"/>
        </w:rPr>
        <w:t> </w:t>
      </w:r>
      <w:r>
        <w:rPr/>
        <w:t>informed within</w:t>
      </w:r>
      <w:r>
        <w:rPr>
          <w:spacing w:val="-5"/>
        </w:rPr>
        <w:t> </w:t>
      </w:r>
      <w:r>
        <w:rPr/>
        <w:t>72</w:t>
      </w:r>
      <w:r>
        <w:rPr>
          <w:spacing w:val="-5"/>
        </w:rPr>
        <w:t> </w:t>
      </w:r>
      <w:r>
        <w:rPr/>
        <w:t>hours.</w:t>
      </w:r>
      <w:r>
        <w:rPr>
          <w:spacing w:val="-6"/>
        </w:rPr>
        <w:t> </w:t>
      </w:r>
      <w:r>
        <w:rPr/>
        <w:t>They are also part of the Data Protection Impact Assessment (DPIA) process.</w:t>
      </w:r>
    </w:p>
    <w:p>
      <w:pPr>
        <w:pStyle w:val="Heading4"/>
      </w:pPr>
      <w:r>
        <w:rPr/>
        <w:t>Directorate</w:t>
      </w:r>
      <w:r>
        <w:rPr>
          <w:spacing w:val="-12"/>
        </w:rPr>
        <w:t> </w:t>
      </w:r>
      <w:r>
        <w:rPr/>
        <w:t>Information</w:t>
      </w:r>
      <w:r>
        <w:rPr>
          <w:spacing w:val="-9"/>
        </w:rPr>
        <w:t> </w:t>
      </w:r>
      <w:r>
        <w:rPr/>
        <w:t>Governance</w:t>
      </w:r>
      <w:r>
        <w:rPr>
          <w:spacing w:val="-11"/>
        </w:rPr>
        <w:t> </w:t>
      </w:r>
      <w:r>
        <w:rPr>
          <w:spacing w:val="-4"/>
        </w:rPr>
        <w:t>Lead</w:t>
      </w:r>
    </w:p>
    <w:p>
      <w:pPr>
        <w:pStyle w:val="BodyText"/>
        <w:spacing w:line="276" w:lineRule="auto" w:before="240"/>
        <w:ind w:left="520" w:right="445"/>
      </w:pPr>
      <w:r>
        <w:rPr/>
        <w:t>The Directorate Information Governance Lead role is a senior member of staff who has been identified to represent a ICB Directorate and has responsibility for Directorate compliance to Information Governance processes.</w:t>
      </w:r>
      <w:r>
        <w:rPr>
          <w:spacing w:val="40"/>
        </w:rPr>
        <w:t> </w:t>
      </w:r>
      <w:r>
        <w:rPr/>
        <w:t>This includes being a member of the ICB</w:t>
      </w:r>
      <w:r>
        <w:rPr>
          <w:spacing w:val="-3"/>
        </w:rPr>
        <w:t> </w:t>
      </w:r>
      <w:r>
        <w:rPr/>
        <w:t>Information</w:t>
      </w:r>
      <w:r>
        <w:rPr>
          <w:spacing w:val="-5"/>
        </w:rPr>
        <w:t> </w:t>
      </w:r>
      <w:r>
        <w:rPr/>
        <w:t>Governance</w:t>
      </w:r>
      <w:r>
        <w:rPr>
          <w:spacing w:val="-3"/>
        </w:rPr>
        <w:t> </w:t>
      </w:r>
      <w:r>
        <w:rPr/>
        <w:t>Group</w:t>
      </w:r>
      <w:r>
        <w:rPr>
          <w:spacing w:val="-3"/>
        </w:rPr>
        <w:t> </w:t>
      </w:r>
      <w:r>
        <w:rPr/>
        <w:t>and</w:t>
      </w:r>
      <w:r>
        <w:rPr>
          <w:spacing w:val="-5"/>
        </w:rPr>
        <w:t> </w:t>
      </w:r>
      <w:r>
        <w:rPr/>
        <w:t>providing</w:t>
      </w:r>
      <w:r>
        <w:rPr>
          <w:spacing w:val="-2"/>
        </w:rPr>
        <w:t> </w:t>
      </w:r>
      <w:r>
        <w:rPr/>
        <w:t>support</w:t>
      </w:r>
      <w:r>
        <w:rPr>
          <w:spacing w:val="-3"/>
        </w:rPr>
        <w:t> </w:t>
      </w:r>
      <w:r>
        <w:rPr/>
        <w:t>for</w:t>
      </w:r>
      <w:r>
        <w:rPr>
          <w:spacing w:val="-6"/>
        </w:rPr>
        <w:t> </w:t>
      </w:r>
      <w:r>
        <w:rPr/>
        <w:t>the</w:t>
      </w:r>
      <w:r>
        <w:rPr>
          <w:spacing w:val="-3"/>
        </w:rPr>
        <w:t> </w:t>
      </w:r>
      <w:r>
        <w:rPr/>
        <w:t>requirements</w:t>
      </w:r>
      <w:r>
        <w:rPr>
          <w:spacing w:val="-5"/>
        </w:rPr>
        <w:t> </w:t>
      </w:r>
      <w:r>
        <w:rPr/>
        <w:t>of</w:t>
      </w:r>
      <w:r>
        <w:rPr>
          <w:spacing w:val="-5"/>
        </w:rPr>
        <w:t> </w:t>
      </w:r>
      <w:r>
        <w:rPr/>
        <w:t>the</w:t>
      </w:r>
      <w:r>
        <w:rPr>
          <w:spacing w:val="-3"/>
        </w:rPr>
        <w:t> </w:t>
      </w:r>
      <w:r>
        <w:rPr/>
        <w:t>Data Protection and Security Toolkit.</w:t>
      </w:r>
    </w:p>
    <w:p>
      <w:pPr>
        <w:pStyle w:val="Heading4"/>
        <w:spacing w:before="202"/>
      </w:pPr>
      <w:r>
        <w:rPr/>
        <w:t>Information</w:t>
      </w:r>
      <w:r>
        <w:rPr>
          <w:spacing w:val="-5"/>
        </w:rPr>
        <w:t> </w:t>
      </w:r>
      <w:r>
        <w:rPr/>
        <w:t>Asset</w:t>
      </w:r>
      <w:r>
        <w:rPr>
          <w:spacing w:val="-5"/>
        </w:rPr>
        <w:t> </w:t>
      </w:r>
      <w:r>
        <w:rPr/>
        <w:t>Owners</w:t>
      </w:r>
      <w:r>
        <w:rPr>
          <w:spacing w:val="-5"/>
        </w:rPr>
        <w:t> </w:t>
      </w:r>
      <w:r>
        <w:rPr>
          <w:spacing w:val="-2"/>
        </w:rPr>
        <w:t>(IAO)</w:t>
      </w:r>
    </w:p>
    <w:p>
      <w:pPr>
        <w:pStyle w:val="BodyText"/>
        <w:spacing w:line="276" w:lineRule="auto" w:before="180"/>
        <w:ind w:left="520" w:right="397"/>
        <w:jc w:val="both"/>
      </w:pPr>
      <w:r>
        <w:rPr/>
        <w:t>The SIRO is supported by Information Asset Owners (IAOs).</w:t>
      </w:r>
      <w:r>
        <w:rPr>
          <w:spacing w:val="40"/>
        </w:rPr>
        <w:t> </w:t>
      </w:r>
      <w:r>
        <w:rPr/>
        <w:t>The role of the IAO is to understand what information is held, what is added and what is removed, who has access and</w:t>
      </w:r>
      <w:r>
        <w:rPr>
          <w:spacing w:val="-1"/>
        </w:rPr>
        <w:t> </w:t>
      </w:r>
      <w:r>
        <w:rPr/>
        <w:t>why</w:t>
      </w:r>
      <w:r>
        <w:rPr>
          <w:spacing w:val="-1"/>
        </w:rPr>
        <w:t> </w:t>
      </w:r>
      <w:r>
        <w:rPr/>
        <w:t>in</w:t>
      </w:r>
      <w:r>
        <w:rPr>
          <w:spacing w:val="-3"/>
        </w:rPr>
        <w:t> </w:t>
      </w:r>
      <w:r>
        <w:rPr/>
        <w:t>their</w:t>
      </w:r>
      <w:r>
        <w:rPr>
          <w:spacing w:val="-3"/>
        </w:rPr>
        <w:t> </w:t>
      </w:r>
      <w:r>
        <w:rPr/>
        <w:t>own</w:t>
      </w:r>
      <w:r>
        <w:rPr>
          <w:spacing w:val="-3"/>
        </w:rPr>
        <w:t> </w:t>
      </w:r>
      <w:r>
        <w:rPr/>
        <w:t>area.</w:t>
      </w:r>
      <w:r>
        <w:rPr>
          <w:spacing w:val="40"/>
        </w:rPr>
        <w:t> </w:t>
      </w:r>
      <w:r>
        <w:rPr/>
        <w:t>As</w:t>
      </w:r>
      <w:r>
        <w:rPr>
          <w:spacing w:val="-1"/>
        </w:rPr>
        <w:t> </w:t>
      </w:r>
      <w:r>
        <w:rPr/>
        <w:t>a result,</w:t>
      </w:r>
      <w:r>
        <w:rPr>
          <w:spacing w:val="-1"/>
        </w:rPr>
        <w:t> </w:t>
      </w:r>
      <w:r>
        <w:rPr/>
        <w:t>they</w:t>
      </w:r>
      <w:r>
        <w:rPr>
          <w:spacing w:val="-3"/>
        </w:rPr>
        <w:t> </w:t>
      </w:r>
      <w:r>
        <w:rPr/>
        <w:t>are</w:t>
      </w:r>
      <w:r>
        <w:rPr>
          <w:spacing w:val="-1"/>
        </w:rPr>
        <w:t> </w:t>
      </w:r>
      <w:r>
        <w:rPr/>
        <w:t>able</w:t>
      </w:r>
      <w:r>
        <w:rPr>
          <w:spacing w:val="-3"/>
        </w:rPr>
        <w:t> </w:t>
      </w:r>
      <w:r>
        <w:rPr/>
        <w:t>to understand</w:t>
      </w:r>
      <w:r>
        <w:rPr>
          <w:spacing w:val="-3"/>
        </w:rPr>
        <w:t> </w:t>
      </w:r>
      <w:r>
        <w:rPr/>
        <w:t>and</w:t>
      </w:r>
      <w:r>
        <w:rPr>
          <w:spacing w:val="-3"/>
        </w:rPr>
        <w:t> </w:t>
      </w:r>
      <w:r>
        <w:rPr/>
        <w:t>address</w:t>
      </w:r>
      <w:r>
        <w:rPr>
          <w:spacing w:val="-1"/>
        </w:rPr>
        <w:t> </w:t>
      </w:r>
      <w:r>
        <w:rPr/>
        <w:t>risks</w:t>
      </w:r>
      <w:r>
        <w:rPr>
          <w:spacing w:val="-1"/>
        </w:rPr>
        <w:t> </w:t>
      </w:r>
      <w:r>
        <w:rPr/>
        <w:t>to</w:t>
      </w:r>
      <w:r>
        <w:rPr>
          <w:spacing w:val="-3"/>
        </w:rPr>
        <w:t> </w:t>
      </w:r>
      <w:r>
        <w:rPr/>
        <w:t>the information assets they ‘own’ and to provide assurance to the SIRO that information risks within their areas of responsibilities are identified, recorded and that controls are in place to mitigate those risks. They will also investigate and take action on any potential breaches of the organisations policies and procedures and ensure that a Data Protection Impact Assessment (DPIA) is undertaken where appropriate.</w:t>
      </w:r>
    </w:p>
    <w:p>
      <w:pPr>
        <w:pStyle w:val="Heading4"/>
        <w:spacing w:before="202"/>
      </w:pPr>
      <w:r>
        <w:rPr/>
        <w:t>Information</w:t>
      </w:r>
      <w:r>
        <w:rPr>
          <w:spacing w:val="-6"/>
        </w:rPr>
        <w:t> </w:t>
      </w:r>
      <w:r>
        <w:rPr/>
        <w:t>Asset</w:t>
      </w:r>
      <w:r>
        <w:rPr>
          <w:spacing w:val="-6"/>
        </w:rPr>
        <w:t> </w:t>
      </w:r>
      <w:r>
        <w:rPr/>
        <w:t>Administrators</w:t>
      </w:r>
      <w:r>
        <w:rPr>
          <w:spacing w:val="-5"/>
        </w:rPr>
        <w:t> </w:t>
      </w:r>
      <w:r>
        <w:rPr>
          <w:spacing w:val="-2"/>
        </w:rPr>
        <w:t>(IAA’s)</w:t>
      </w:r>
    </w:p>
    <w:p>
      <w:pPr>
        <w:spacing w:after="0"/>
        <w:sectPr>
          <w:pgSz w:w="11910" w:h="16840"/>
          <w:pgMar w:header="570" w:footer="1032" w:top="1200" w:bottom="1220" w:left="560" w:right="680"/>
        </w:sectPr>
      </w:pPr>
    </w:p>
    <w:p>
      <w:pPr>
        <w:pStyle w:val="BodyText"/>
        <w:spacing w:before="206"/>
        <w:rPr>
          <w:rFonts w:ascii="Arial"/>
          <w:b/>
        </w:rPr>
      </w:pPr>
    </w:p>
    <w:p>
      <w:pPr>
        <w:pStyle w:val="BodyText"/>
        <w:spacing w:line="259" w:lineRule="auto"/>
        <w:ind w:left="520" w:right="404"/>
        <w:jc w:val="both"/>
      </w:pPr>
      <w:r>
        <w:rPr/>
        <w:t>Information Asset Administrators are required to support the IAO’s and SIRO who will work with the SCW Information Governance Team to ensure staff apply the data protection legislation and Caldicott Principles within daily working practices.</w:t>
      </w:r>
    </w:p>
    <w:p>
      <w:pPr>
        <w:pStyle w:val="BodyText"/>
      </w:pPr>
    </w:p>
    <w:p>
      <w:pPr>
        <w:pStyle w:val="BodyText"/>
      </w:pPr>
    </w:p>
    <w:p>
      <w:pPr>
        <w:pStyle w:val="BodyText"/>
        <w:spacing w:before="249"/>
      </w:pPr>
    </w:p>
    <w:p>
      <w:pPr>
        <w:pStyle w:val="Heading4"/>
        <w:spacing w:before="0"/>
      </w:pPr>
      <w:r>
        <w:rPr/>
        <w:t>SCW</w:t>
      </w:r>
      <w:r>
        <w:rPr>
          <w:spacing w:val="-6"/>
        </w:rPr>
        <w:t> </w:t>
      </w:r>
      <w:r>
        <w:rPr/>
        <w:t>Information</w:t>
      </w:r>
      <w:r>
        <w:rPr>
          <w:spacing w:val="-4"/>
        </w:rPr>
        <w:t> </w:t>
      </w:r>
      <w:r>
        <w:rPr/>
        <w:t>Governance</w:t>
      </w:r>
      <w:r>
        <w:rPr>
          <w:spacing w:val="-3"/>
        </w:rPr>
        <w:t> </w:t>
      </w:r>
      <w:r>
        <w:rPr>
          <w:spacing w:val="-2"/>
        </w:rPr>
        <w:t>Manager</w:t>
      </w:r>
    </w:p>
    <w:p>
      <w:pPr>
        <w:pStyle w:val="BodyText"/>
        <w:spacing w:line="259" w:lineRule="auto" w:before="180"/>
        <w:ind w:left="520" w:right="394"/>
        <w:jc w:val="both"/>
      </w:pPr>
      <w:r>
        <w:rPr/>
        <w:t>The SCW Information Governance Team supports the ICB and is responsible for ensuring that the Information Governance programme is implemented throughout the organisation. The team is</w:t>
      </w:r>
      <w:r>
        <w:rPr>
          <w:spacing w:val="-4"/>
        </w:rPr>
        <w:t> </w:t>
      </w:r>
      <w:r>
        <w:rPr/>
        <w:t>also</w:t>
      </w:r>
      <w:r>
        <w:rPr>
          <w:spacing w:val="-3"/>
        </w:rPr>
        <w:t> </w:t>
      </w:r>
      <w:r>
        <w:rPr/>
        <w:t>responsible for</w:t>
      </w:r>
      <w:r>
        <w:rPr>
          <w:spacing w:val="-2"/>
        </w:rPr>
        <w:t> </w:t>
      </w:r>
      <w:r>
        <w:rPr/>
        <w:t>the completion</w:t>
      </w:r>
      <w:r>
        <w:rPr>
          <w:spacing w:val="-3"/>
        </w:rPr>
        <w:t> </w:t>
      </w:r>
      <w:r>
        <w:rPr/>
        <w:t>and</w:t>
      </w:r>
      <w:r>
        <w:rPr>
          <w:spacing w:val="-2"/>
        </w:rPr>
        <w:t> </w:t>
      </w:r>
      <w:r>
        <w:rPr/>
        <w:t>annual</w:t>
      </w:r>
      <w:r>
        <w:rPr>
          <w:spacing w:val="-1"/>
        </w:rPr>
        <w:t> </w:t>
      </w:r>
      <w:r>
        <w:rPr/>
        <w:t>submission of the</w:t>
      </w:r>
      <w:r>
        <w:rPr>
          <w:spacing w:val="-2"/>
        </w:rPr>
        <w:t> </w:t>
      </w:r>
      <w:r>
        <w:rPr/>
        <w:t>Data</w:t>
      </w:r>
      <w:r>
        <w:rPr>
          <w:spacing w:val="-2"/>
        </w:rPr>
        <w:t> </w:t>
      </w:r>
      <w:r>
        <w:rPr/>
        <w:t>Security and Protection Toolkit. The Information Governance Team will support the organisation in investigating Serious IG Incidents Requiring Investigation (SIRIs), offer advice and support for</w:t>
      </w:r>
      <w:r>
        <w:rPr>
          <w:spacing w:val="-10"/>
        </w:rPr>
        <w:t> </w:t>
      </w:r>
      <w:r>
        <w:rPr/>
        <w:t>the</w:t>
      </w:r>
      <w:r>
        <w:rPr>
          <w:spacing w:val="-11"/>
        </w:rPr>
        <w:t> </w:t>
      </w:r>
      <w:r>
        <w:rPr/>
        <w:t>organisation</w:t>
      </w:r>
      <w:r>
        <w:rPr>
          <w:spacing w:val="-11"/>
        </w:rPr>
        <w:t> </w:t>
      </w:r>
      <w:r>
        <w:rPr/>
        <w:t>to</w:t>
      </w:r>
      <w:r>
        <w:rPr>
          <w:spacing w:val="-13"/>
        </w:rPr>
        <w:t> </w:t>
      </w:r>
      <w:r>
        <w:rPr/>
        <w:t>comply</w:t>
      </w:r>
      <w:r>
        <w:rPr>
          <w:spacing w:val="-12"/>
        </w:rPr>
        <w:t> </w:t>
      </w:r>
      <w:r>
        <w:rPr/>
        <w:t>with</w:t>
      </w:r>
      <w:r>
        <w:rPr>
          <w:spacing w:val="-8"/>
        </w:rPr>
        <w:t> </w:t>
      </w:r>
      <w:r>
        <w:rPr/>
        <w:t>legislation,</w:t>
      </w:r>
      <w:r>
        <w:rPr>
          <w:spacing w:val="-11"/>
        </w:rPr>
        <w:t> </w:t>
      </w:r>
      <w:r>
        <w:rPr/>
        <w:t>policies</w:t>
      </w:r>
      <w:r>
        <w:rPr>
          <w:spacing w:val="-11"/>
        </w:rPr>
        <w:t> </w:t>
      </w:r>
      <w:r>
        <w:rPr/>
        <w:t>and</w:t>
      </w:r>
      <w:r>
        <w:rPr>
          <w:spacing w:val="-8"/>
        </w:rPr>
        <w:t> </w:t>
      </w:r>
      <w:r>
        <w:rPr/>
        <w:t>protocols</w:t>
      </w:r>
      <w:r>
        <w:rPr>
          <w:spacing w:val="-14"/>
        </w:rPr>
        <w:t> </w:t>
      </w:r>
      <w:r>
        <w:rPr/>
        <w:t>as</w:t>
      </w:r>
      <w:r>
        <w:rPr>
          <w:spacing w:val="-9"/>
        </w:rPr>
        <w:t> </w:t>
      </w:r>
      <w:r>
        <w:rPr/>
        <w:t>per</w:t>
      </w:r>
      <w:r>
        <w:rPr>
          <w:spacing w:val="-10"/>
        </w:rPr>
        <w:t> </w:t>
      </w:r>
      <w:r>
        <w:rPr/>
        <w:t>the</w:t>
      </w:r>
      <w:r>
        <w:rPr>
          <w:spacing w:val="-11"/>
        </w:rPr>
        <w:t> </w:t>
      </w:r>
      <w:r>
        <w:rPr/>
        <w:t>Service</w:t>
      </w:r>
      <w:r>
        <w:rPr>
          <w:spacing w:val="-11"/>
        </w:rPr>
        <w:t> </w:t>
      </w:r>
      <w:r>
        <w:rPr/>
        <w:t>Level </w:t>
      </w:r>
      <w:r>
        <w:rPr>
          <w:spacing w:val="-2"/>
        </w:rPr>
        <w:t>Agreement.</w:t>
      </w:r>
    </w:p>
    <w:p>
      <w:pPr>
        <w:pStyle w:val="BodyText"/>
      </w:pPr>
    </w:p>
    <w:p>
      <w:pPr>
        <w:pStyle w:val="BodyText"/>
        <w:spacing w:before="64"/>
      </w:pPr>
    </w:p>
    <w:p>
      <w:pPr>
        <w:pStyle w:val="Heading4"/>
        <w:spacing w:before="0"/>
      </w:pPr>
      <w:r>
        <w:rPr>
          <w:spacing w:val="-2"/>
        </w:rPr>
        <w:t>Management</w:t>
      </w:r>
    </w:p>
    <w:p>
      <w:pPr>
        <w:pStyle w:val="BodyText"/>
        <w:spacing w:line="259" w:lineRule="auto" w:before="183"/>
        <w:ind w:left="520" w:right="397"/>
        <w:jc w:val="both"/>
      </w:pPr>
      <w:r>
        <w:rPr/>
        <w:t>All managers are responsible for promoting good information governance within their team. This includes ensuring that staff members complete relevant induction training and annual Data Security and Awareness training.</w:t>
      </w:r>
      <w:r>
        <w:rPr>
          <w:spacing w:val="40"/>
        </w:rPr>
        <w:t> </w:t>
      </w:r>
      <w:r>
        <w:rPr/>
        <w:t>Managers must also support Information Asset Owners in their activities and identify any new or changes processes that require a Data Protection Impact Assessment.</w:t>
      </w:r>
    </w:p>
    <w:p>
      <w:pPr>
        <w:pStyle w:val="Heading4"/>
      </w:pPr>
      <w:r>
        <w:rPr/>
        <w:t>All</w:t>
      </w:r>
      <w:r>
        <w:rPr>
          <w:spacing w:val="-4"/>
        </w:rPr>
        <w:t> </w:t>
      </w:r>
      <w:r>
        <w:rPr>
          <w:spacing w:val="-2"/>
        </w:rPr>
        <w:t>staff</w:t>
      </w:r>
    </w:p>
    <w:p>
      <w:pPr>
        <w:pStyle w:val="BodyText"/>
        <w:spacing w:line="259" w:lineRule="auto" w:before="182"/>
        <w:ind w:left="520" w:right="404"/>
        <w:jc w:val="both"/>
      </w:pPr>
      <w:r>
        <w:rPr/>
        <w:t>All</w:t>
      </w:r>
      <w:r>
        <w:rPr>
          <w:spacing w:val="-11"/>
        </w:rPr>
        <w:t> </w:t>
      </w:r>
      <w:r>
        <w:rPr/>
        <w:t>staff</w:t>
      </w:r>
      <w:r>
        <w:rPr>
          <w:spacing w:val="-9"/>
        </w:rPr>
        <w:t> </w:t>
      </w:r>
      <w:r>
        <w:rPr/>
        <w:t>have</w:t>
      </w:r>
      <w:r>
        <w:rPr>
          <w:spacing w:val="-9"/>
        </w:rPr>
        <w:t> </w:t>
      </w:r>
      <w:r>
        <w:rPr/>
        <w:t>responsibility</w:t>
      </w:r>
      <w:r>
        <w:rPr>
          <w:spacing w:val="-10"/>
        </w:rPr>
        <w:t> </w:t>
      </w:r>
      <w:r>
        <w:rPr/>
        <w:t>for</w:t>
      </w:r>
      <w:r>
        <w:rPr>
          <w:spacing w:val="-11"/>
        </w:rPr>
        <w:t> </w:t>
      </w:r>
      <w:r>
        <w:rPr/>
        <w:t>complying</w:t>
      </w:r>
      <w:r>
        <w:rPr>
          <w:spacing w:val="-9"/>
        </w:rPr>
        <w:t> </w:t>
      </w:r>
      <w:r>
        <w:rPr/>
        <w:t>with</w:t>
      </w:r>
      <w:r>
        <w:rPr>
          <w:spacing w:val="-11"/>
        </w:rPr>
        <w:t> </w:t>
      </w:r>
      <w:r>
        <w:rPr/>
        <w:t>this</w:t>
      </w:r>
      <w:r>
        <w:rPr>
          <w:spacing w:val="-11"/>
        </w:rPr>
        <w:t> </w:t>
      </w:r>
      <w:r>
        <w:rPr/>
        <w:t>policy</w:t>
      </w:r>
      <w:r>
        <w:rPr>
          <w:spacing w:val="-10"/>
        </w:rPr>
        <w:t> </w:t>
      </w:r>
      <w:r>
        <w:rPr/>
        <w:t>and</w:t>
      </w:r>
      <w:r>
        <w:rPr>
          <w:spacing w:val="-9"/>
        </w:rPr>
        <w:t> </w:t>
      </w:r>
      <w:r>
        <w:rPr/>
        <w:t>with</w:t>
      </w:r>
      <w:r>
        <w:rPr>
          <w:spacing w:val="-9"/>
        </w:rPr>
        <w:t> </w:t>
      </w:r>
      <w:r>
        <w:rPr/>
        <w:t>Data</w:t>
      </w:r>
      <w:r>
        <w:rPr>
          <w:spacing w:val="-9"/>
        </w:rPr>
        <w:t> </w:t>
      </w:r>
      <w:r>
        <w:rPr/>
        <w:t>Protection</w:t>
      </w:r>
      <w:r>
        <w:rPr>
          <w:spacing w:val="-9"/>
        </w:rPr>
        <w:t> </w:t>
      </w:r>
      <w:r>
        <w:rPr/>
        <w:t>Legislation and for completing annual Data Security and Awareness training.</w:t>
      </w:r>
    </w:p>
    <w:p>
      <w:pPr>
        <w:pStyle w:val="Heading2"/>
        <w:numPr>
          <w:ilvl w:val="0"/>
          <w:numId w:val="2"/>
        </w:numPr>
        <w:tabs>
          <w:tab w:pos="880" w:val="left" w:leader="none"/>
        </w:tabs>
        <w:spacing w:line="240" w:lineRule="auto" w:before="240" w:after="0"/>
        <w:ind w:left="880" w:right="0" w:hanging="360"/>
        <w:jc w:val="left"/>
      </w:pPr>
      <w:bookmarkStart w:name="_bookmark9" w:id="10"/>
      <w:bookmarkEnd w:id="10"/>
      <w:r>
        <w:rPr/>
      </w:r>
      <w:r>
        <w:rPr>
          <w:color w:val="1C1F62"/>
        </w:rPr>
        <w:t>Definitions/explanations</w:t>
      </w:r>
      <w:r>
        <w:rPr>
          <w:color w:val="1C1F62"/>
          <w:spacing w:val="-8"/>
        </w:rPr>
        <w:t> </w:t>
      </w:r>
      <w:r>
        <w:rPr>
          <w:color w:val="1C1F62"/>
        </w:rPr>
        <w:t>of</w:t>
      </w:r>
      <w:r>
        <w:rPr>
          <w:color w:val="1C1F62"/>
          <w:spacing w:val="-8"/>
        </w:rPr>
        <w:t> </w:t>
      </w:r>
      <w:r>
        <w:rPr>
          <w:color w:val="1C1F62"/>
        </w:rPr>
        <w:t>terms</w:t>
      </w:r>
      <w:r>
        <w:rPr>
          <w:color w:val="1C1F62"/>
          <w:spacing w:val="-7"/>
        </w:rPr>
        <w:t> </w:t>
      </w:r>
      <w:r>
        <w:rPr>
          <w:color w:val="1C1F62"/>
          <w:spacing w:val="-4"/>
        </w:rPr>
        <w:t>used</w:t>
      </w:r>
    </w:p>
    <w:p>
      <w:pPr>
        <w:pStyle w:val="BodyText"/>
        <w:spacing w:line="259" w:lineRule="auto" w:before="32"/>
        <w:ind w:left="520" w:right="393"/>
        <w:jc w:val="both"/>
      </w:pPr>
      <w:r>
        <w:rPr/>
        <w:t>In</w:t>
      </w:r>
      <w:r>
        <w:rPr>
          <w:spacing w:val="-7"/>
        </w:rPr>
        <w:t> </w:t>
      </w:r>
      <w:r>
        <w:rPr/>
        <w:t>order</w:t>
      </w:r>
      <w:r>
        <w:rPr>
          <w:spacing w:val="-8"/>
        </w:rPr>
        <w:t> </w:t>
      </w:r>
      <w:r>
        <w:rPr/>
        <w:t>to</w:t>
      </w:r>
      <w:r>
        <w:rPr>
          <w:spacing w:val="-7"/>
        </w:rPr>
        <w:t> </w:t>
      </w:r>
      <w:r>
        <w:rPr/>
        <w:t>assist</w:t>
      </w:r>
      <w:r>
        <w:rPr>
          <w:spacing w:val="-10"/>
        </w:rPr>
        <w:t> </w:t>
      </w:r>
      <w:r>
        <w:rPr/>
        <w:t>staff</w:t>
      </w:r>
      <w:r>
        <w:rPr>
          <w:spacing w:val="-9"/>
        </w:rPr>
        <w:t> </w:t>
      </w:r>
      <w:r>
        <w:rPr/>
        <w:t>with</w:t>
      </w:r>
      <w:r>
        <w:rPr>
          <w:spacing w:val="-7"/>
        </w:rPr>
        <w:t> </w:t>
      </w:r>
      <w:r>
        <w:rPr/>
        <w:t>understanding</w:t>
      </w:r>
      <w:r>
        <w:rPr>
          <w:spacing w:val="-7"/>
        </w:rPr>
        <w:t> </w:t>
      </w:r>
      <w:r>
        <w:rPr/>
        <w:t>their</w:t>
      </w:r>
      <w:r>
        <w:rPr>
          <w:spacing w:val="-9"/>
        </w:rPr>
        <w:t> </w:t>
      </w:r>
      <w:r>
        <w:rPr/>
        <w:t>responsibilities</w:t>
      </w:r>
      <w:r>
        <w:rPr>
          <w:spacing w:val="-10"/>
        </w:rPr>
        <w:t> </w:t>
      </w:r>
      <w:r>
        <w:rPr/>
        <w:t>under</w:t>
      </w:r>
      <w:r>
        <w:rPr>
          <w:spacing w:val="-11"/>
        </w:rPr>
        <w:t> </w:t>
      </w:r>
      <w:r>
        <w:rPr/>
        <w:t>this</w:t>
      </w:r>
      <w:r>
        <w:rPr>
          <w:spacing w:val="-11"/>
        </w:rPr>
        <w:t> </w:t>
      </w:r>
      <w:r>
        <w:rPr/>
        <w:t>policy,</w:t>
      </w:r>
      <w:r>
        <w:rPr>
          <w:spacing w:val="-7"/>
        </w:rPr>
        <w:t> </w:t>
      </w:r>
      <w:r>
        <w:rPr/>
        <w:t>the</w:t>
      </w:r>
      <w:r>
        <w:rPr>
          <w:spacing w:val="-9"/>
        </w:rPr>
        <w:t> </w:t>
      </w:r>
      <w:r>
        <w:rPr/>
        <w:t>following types</w:t>
      </w:r>
      <w:r>
        <w:rPr>
          <w:spacing w:val="-17"/>
        </w:rPr>
        <w:t> </w:t>
      </w:r>
      <w:r>
        <w:rPr/>
        <w:t>of</w:t>
      </w:r>
      <w:r>
        <w:rPr>
          <w:spacing w:val="-17"/>
        </w:rPr>
        <w:t> </w:t>
      </w:r>
      <w:r>
        <w:rPr/>
        <w:t>information</w:t>
      </w:r>
      <w:r>
        <w:rPr>
          <w:spacing w:val="-16"/>
        </w:rPr>
        <w:t> </w:t>
      </w:r>
      <w:r>
        <w:rPr/>
        <w:t>and</w:t>
      </w:r>
      <w:r>
        <w:rPr>
          <w:spacing w:val="-15"/>
        </w:rPr>
        <w:t> </w:t>
      </w:r>
      <w:r>
        <w:rPr/>
        <w:t>their</w:t>
      </w:r>
      <w:r>
        <w:rPr>
          <w:spacing w:val="-17"/>
        </w:rPr>
        <w:t> </w:t>
      </w:r>
      <w:r>
        <w:rPr/>
        <w:t>definitions</w:t>
      </w:r>
      <w:r>
        <w:rPr>
          <w:spacing w:val="-17"/>
        </w:rPr>
        <w:t> </w:t>
      </w:r>
      <w:r>
        <w:rPr/>
        <w:t>are</w:t>
      </w:r>
      <w:r>
        <w:rPr>
          <w:spacing w:val="-15"/>
        </w:rPr>
        <w:t> </w:t>
      </w:r>
      <w:r>
        <w:rPr/>
        <w:t>applicable</w:t>
      </w:r>
      <w:r>
        <w:rPr>
          <w:spacing w:val="-16"/>
        </w:rPr>
        <w:t> </w:t>
      </w:r>
      <w:r>
        <w:rPr/>
        <w:t>in</w:t>
      </w:r>
      <w:r>
        <w:rPr>
          <w:spacing w:val="-17"/>
        </w:rPr>
        <w:t> </w:t>
      </w:r>
      <w:r>
        <w:rPr/>
        <w:t>all</w:t>
      </w:r>
      <w:r>
        <w:rPr>
          <w:spacing w:val="-16"/>
        </w:rPr>
        <w:t> </w:t>
      </w:r>
      <w:r>
        <w:rPr/>
        <w:t>relevant</w:t>
      </w:r>
      <w:r>
        <w:rPr>
          <w:spacing w:val="-17"/>
        </w:rPr>
        <w:t> </w:t>
      </w:r>
      <w:r>
        <w:rPr/>
        <w:t>policies</w:t>
      </w:r>
      <w:r>
        <w:rPr>
          <w:spacing w:val="-15"/>
        </w:rPr>
        <w:t> </w:t>
      </w:r>
      <w:r>
        <w:rPr/>
        <w:t>and</w:t>
      </w:r>
      <w:r>
        <w:rPr>
          <w:spacing w:val="-16"/>
        </w:rPr>
        <w:t> </w:t>
      </w:r>
      <w:r>
        <w:rPr/>
        <w:t>documents.</w:t>
      </w:r>
    </w:p>
    <w:p>
      <w:pPr>
        <w:pStyle w:val="BodyText"/>
        <w:rPr>
          <w:sz w:val="20"/>
        </w:rPr>
      </w:pPr>
    </w:p>
    <w:p>
      <w:pPr>
        <w:pStyle w:val="BodyText"/>
        <w:spacing w:before="158"/>
        <w:rPr>
          <w:sz w:val="20"/>
        </w:r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0"/>
        <w:gridCol w:w="7120"/>
      </w:tblGrid>
      <w:tr>
        <w:trPr>
          <w:trHeight w:val="2879" w:hRule="atLeast"/>
        </w:trPr>
        <w:tc>
          <w:tcPr>
            <w:tcW w:w="1790" w:type="dxa"/>
          </w:tcPr>
          <w:p>
            <w:pPr>
              <w:pStyle w:val="TableParagraph"/>
              <w:ind w:left="107" w:right="655"/>
              <w:rPr>
                <w:rFonts w:ascii="Arial"/>
                <w:b/>
                <w:sz w:val="24"/>
              </w:rPr>
            </w:pPr>
            <w:r>
              <w:rPr>
                <w:rFonts w:ascii="Arial"/>
                <w:b/>
                <w:spacing w:val="-2"/>
                <w:sz w:val="24"/>
              </w:rPr>
              <w:t>Personal </w:t>
            </w:r>
            <w:r>
              <w:rPr>
                <w:rFonts w:ascii="Arial"/>
                <w:b/>
                <w:spacing w:val="-4"/>
                <w:sz w:val="24"/>
              </w:rPr>
              <w:t>Data</w:t>
            </w:r>
          </w:p>
          <w:p>
            <w:pPr>
              <w:pStyle w:val="TableParagraph"/>
              <w:spacing w:before="223"/>
              <w:ind w:left="0"/>
              <w:rPr>
                <w:sz w:val="24"/>
              </w:rPr>
            </w:pPr>
          </w:p>
          <w:p>
            <w:pPr>
              <w:pStyle w:val="TableParagraph"/>
              <w:ind w:left="107"/>
              <w:rPr>
                <w:sz w:val="24"/>
              </w:rPr>
            </w:pPr>
            <w:r>
              <w:rPr>
                <w:sz w:val="24"/>
              </w:rPr>
              <w:t>(derived from the</w:t>
            </w:r>
            <w:r>
              <w:rPr>
                <w:spacing w:val="-17"/>
                <w:sz w:val="24"/>
              </w:rPr>
              <w:t> </w:t>
            </w:r>
            <w:r>
              <w:rPr>
                <w:sz w:val="24"/>
              </w:rPr>
              <w:t>UK</w:t>
            </w:r>
            <w:r>
              <w:rPr>
                <w:spacing w:val="-17"/>
                <w:sz w:val="24"/>
              </w:rPr>
              <w:t> </w:t>
            </w:r>
            <w:r>
              <w:rPr>
                <w:sz w:val="24"/>
              </w:rPr>
              <w:t>GDPR)</w:t>
            </w:r>
          </w:p>
        </w:tc>
        <w:tc>
          <w:tcPr>
            <w:tcW w:w="7120" w:type="dxa"/>
          </w:tcPr>
          <w:p>
            <w:pPr>
              <w:pStyle w:val="TableParagraph"/>
              <w:ind w:right="95"/>
              <w:jc w:val="both"/>
              <w:rPr>
                <w:sz w:val="24"/>
              </w:rPr>
            </w:pPr>
            <w:r>
              <w:rPr>
                <w:sz w:val="24"/>
              </w:rPr>
              <w:t>Any information relating to an identified or identifiable natural person (‘data subject’);</w:t>
            </w:r>
            <w:r>
              <w:rPr>
                <w:spacing w:val="40"/>
                <w:sz w:val="24"/>
              </w:rPr>
              <w:t> </w:t>
            </w:r>
            <w:r>
              <w:rPr>
                <w:sz w:val="24"/>
              </w:rPr>
              <w:t>an identifiable natural person is</w:t>
            </w:r>
            <w:r>
              <w:rPr>
                <w:spacing w:val="-1"/>
                <w:sz w:val="24"/>
              </w:rPr>
              <w:t> </w:t>
            </w:r>
            <w:r>
              <w:rPr>
                <w:sz w:val="24"/>
              </w:rPr>
              <w:t>one who can</w:t>
            </w:r>
            <w:r>
              <w:rPr>
                <w:spacing w:val="-13"/>
                <w:sz w:val="24"/>
              </w:rPr>
              <w:t> </w:t>
            </w:r>
            <w:r>
              <w:rPr>
                <w:sz w:val="24"/>
              </w:rPr>
              <w:t>be</w:t>
            </w:r>
            <w:r>
              <w:rPr>
                <w:spacing w:val="-10"/>
                <w:sz w:val="24"/>
              </w:rPr>
              <w:t> </w:t>
            </w:r>
            <w:r>
              <w:rPr>
                <w:sz w:val="24"/>
              </w:rPr>
              <w:t>identified,</w:t>
            </w:r>
            <w:r>
              <w:rPr>
                <w:spacing w:val="-13"/>
                <w:sz w:val="24"/>
              </w:rPr>
              <w:t> </w:t>
            </w:r>
            <w:r>
              <w:rPr>
                <w:sz w:val="24"/>
              </w:rPr>
              <w:t>directly</w:t>
            </w:r>
            <w:r>
              <w:rPr>
                <w:spacing w:val="-12"/>
                <w:sz w:val="24"/>
              </w:rPr>
              <w:t> </w:t>
            </w:r>
            <w:r>
              <w:rPr>
                <w:sz w:val="24"/>
              </w:rPr>
              <w:t>or</w:t>
            </w:r>
            <w:r>
              <w:rPr>
                <w:spacing w:val="-12"/>
                <w:sz w:val="24"/>
              </w:rPr>
              <w:t> </w:t>
            </w:r>
            <w:r>
              <w:rPr>
                <w:sz w:val="24"/>
              </w:rPr>
              <w:t>indirectly,</w:t>
            </w:r>
            <w:r>
              <w:rPr>
                <w:spacing w:val="-13"/>
                <w:sz w:val="24"/>
              </w:rPr>
              <w:t> </w:t>
            </w:r>
            <w:r>
              <w:rPr>
                <w:sz w:val="24"/>
              </w:rPr>
              <w:t>in</w:t>
            </w:r>
            <w:r>
              <w:rPr>
                <w:spacing w:val="-11"/>
                <w:sz w:val="24"/>
              </w:rPr>
              <w:t> </w:t>
            </w:r>
            <w:r>
              <w:rPr>
                <w:sz w:val="24"/>
              </w:rPr>
              <w:t>particular</w:t>
            </w:r>
            <w:r>
              <w:rPr>
                <w:spacing w:val="-11"/>
                <w:sz w:val="24"/>
              </w:rPr>
              <w:t> </w:t>
            </w:r>
            <w:r>
              <w:rPr>
                <w:sz w:val="24"/>
              </w:rPr>
              <w:t>by</w:t>
            </w:r>
            <w:r>
              <w:rPr>
                <w:spacing w:val="-11"/>
                <w:sz w:val="24"/>
              </w:rPr>
              <w:t> </w:t>
            </w:r>
            <w:r>
              <w:rPr>
                <w:sz w:val="24"/>
              </w:rPr>
              <w:t>reference</w:t>
            </w:r>
            <w:r>
              <w:rPr>
                <w:spacing w:val="-10"/>
                <w:sz w:val="24"/>
              </w:rPr>
              <w:t> </w:t>
            </w:r>
            <w:r>
              <w:rPr>
                <w:sz w:val="24"/>
              </w:rPr>
              <w:t>to an identifier such as a name, an identification number, location data, an online identifier or to one or more factors specific to the physical, physiological, genetic, mental, economic, cultural or social identity of that natural person.</w:t>
            </w:r>
          </w:p>
        </w:tc>
      </w:tr>
    </w:tbl>
    <w:p>
      <w:pPr>
        <w:spacing w:after="0"/>
        <w:jc w:val="both"/>
        <w:rPr>
          <w:sz w:val="24"/>
        </w:rPr>
        <w:sectPr>
          <w:pgSz w:w="11910" w:h="16840"/>
          <w:pgMar w:header="570" w:footer="1032" w:top="1200" w:bottom="1220" w:left="560" w:right="680"/>
        </w:sectPr>
      </w:pPr>
    </w:p>
    <w:p>
      <w:pPr>
        <w:pStyle w:val="BodyText"/>
        <w:rPr>
          <w:sz w:val="20"/>
        </w:rPr>
      </w:pPr>
    </w:p>
    <w:p>
      <w:pPr>
        <w:pStyle w:val="BodyText"/>
        <w:spacing w:before="22"/>
        <w:rPr>
          <w:sz w:val="20"/>
        </w:r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0"/>
        <w:gridCol w:w="7120"/>
      </w:tblGrid>
      <w:tr>
        <w:trPr>
          <w:trHeight w:val="4373" w:hRule="atLeast"/>
        </w:trPr>
        <w:tc>
          <w:tcPr>
            <w:tcW w:w="1790" w:type="dxa"/>
          </w:tcPr>
          <w:p>
            <w:pPr>
              <w:pStyle w:val="TableParagraph"/>
              <w:ind w:left="107" w:right="181"/>
              <w:rPr>
                <w:rFonts w:ascii="Arial" w:hAnsi="Arial"/>
                <w:b/>
                <w:sz w:val="24"/>
              </w:rPr>
            </w:pPr>
            <w:r>
              <w:rPr>
                <w:rFonts w:ascii="Arial" w:hAnsi="Arial"/>
                <w:b/>
                <w:spacing w:val="-2"/>
                <w:sz w:val="24"/>
              </w:rPr>
              <w:t>‘Special Categories’ </w:t>
            </w:r>
            <w:r>
              <w:rPr>
                <w:rFonts w:ascii="Arial" w:hAnsi="Arial"/>
                <w:b/>
                <w:sz w:val="24"/>
              </w:rPr>
              <w:t>of</w:t>
            </w:r>
            <w:r>
              <w:rPr>
                <w:rFonts w:ascii="Arial" w:hAnsi="Arial"/>
                <w:b/>
                <w:spacing w:val="-17"/>
                <w:sz w:val="24"/>
              </w:rPr>
              <w:t> </w:t>
            </w:r>
            <w:r>
              <w:rPr>
                <w:rFonts w:ascii="Arial" w:hAnsi="Arial"/>
                <w:b/>
                <w:sz w:val="24"/>
              </w:rPr>
              <w:t>Personal </w:t>
            </w:r>
            <w:r>
              <w:rPr>
                <w:rFonts w:ascii="Arial" w:hAnsi="Arial"/>
                <w:b/>
                <w:spacing w:val="-4"/>
                <w:sz w:val="24"/>
              </w:rPr>
              <w:t>Data</w:t>
            </w:r>
          </w:p>
          <w:p>
            <w:pPr>
              <w:pStyle w:val="TableParagraph"/>
              <w:spacing w:before="226"/>
              <w:ind w:left="0"/>
              <w:rPr>
                <w:sz w:val="24"/>
              </w:rPr>
            </w:pPr>
          </w:p>
          <w:p>
            <w:pPr>
              <w:pStyle w:val="TableParagraph"/>
              <w:ind w:left="107"/>
              <w:rPr>
                <w:sz w:val="24"/>
              </w:rPr>
            </w:pPr>
            <w:r>
              <w:rPr>
                <w:sz w:val="24"/>
              </w:rPr>
              <w:t>(derived from the</w:t>
            </w:r>
            <w:r>
              <w:rPr>
                <w:spacing w:val="-17"/>
                <w:sz w:val="24"/>
              </w:rPr>
              <w:t> </w:t>
            </w:r>
            <w:r>
              <w:rPr>
                <w:sz w:val="24"/>
              </w:rPr>
              <w:t>UK</w:t>
            </w:r>
            <w:r>
              <w:rPr>
                <w:spacing w:val="-17"/>
                <w:sz w:val="24"/>
              </w:rPr>
              <w:t> </w:t>
            </w:r>
            <w:r>
              <w:rPr>
                <w:sz w:val="24"/>
              </w:rPr>
              <w:t>GDPR)</w:t>
            </w:r>
          </w:p>
        </w:tc>
        <w:tc>
          <w:tcPr>
            <w:tcW w:w="7120" w:type="dxa"/>
          </w:tcPr>
          <w:p>
            <w:pPr>
              <w:pStyle w:val="TableParagraph"/>
              <w:ind w:firstLine="67"/>
              <w:rPr>
                <w:sz w:val="24"/>
              </w:rPr>
            </w:pPr>
            <w:r>
              <w:rPr>
                <w:sz w:val="24"/>
              </w:rPr>
              <w:t>‘Special Categories’ of Personal Data is different from Personal Data and consists of information relating to:</w:t>
            </w:r>
          </w:p>
          <w:p>
            <w:pPr>
              <w:pStyle w:val="TableParagraph"/>
              <w:numPr>
                <w:ilvl w:val="0"/>
                <w:numId w:val="4"/>
              </w:numPr>
              <w:tabs>
                <w:tab w:pos="828" w:val="left" w:leader="none"/>
              </w:tabs>
              <w:spacing w:line="240" w:lineRule="auto" w:before="1" w:after="0"/>
              <w:ind w:left="828" w:right="0" w:hanging="360"/>
              <w:jc w:val="left"/>
              <w:rPr>
                <w:sz w:val="24"/>
              </w:rPr>
            </w:pPr>
            <w:r>
              <w:rPr>
                <w:sz w:val="24"/>
              </w:rPr>
              <w:t>The</w:t>
            </w:r>
            <w:r>
              <w:rPr>
                <w:spacing w:val="-3"/>
                <w:sz w:val="24"/>
              </w:rPr>
              <w:t> </w:t>
            </w:r>
            <w:r>
              <w:rPr>
                <w:sz w:val="24"/>
              </w:rPr>
              <w:t>racial</w:t>
            </w:r>
            <w:r>
              <w:rPr>
                <w:spacing w:val="-2"/>
                <w:sz w:val="24"/>
              </w:rPr>
              <w:t> </w:t>
            </w:r>
            <w:r>
              <w:rPr>
                <w:sz w:val="24"/>
              </w:rPr>
              <w:t>or</w:t>
            </w:r>
            <w:r>
              <w:rPr>
                <w:spacing w:val="-4"/>
                <w:sz w:val="24"/>
              </w:rPr>
              <w:t> </w:t>
            </w:r>
            <w:r>
              <w:rPr>
                <w:sz w:val="24"/>
              </w:rPr>
              <w:t>ethnic</w:t>
            </w:r>
            <w:r>
              <w:rPr>
                <w:spacing w:val="-2"/>
                <w:sz w:val="24"/>
              </w:rPr>
              <w:t> </w:t>
            </w:r>
            <w:r>
              <w:rPr>
                <w:sz w:val="24"/>
              </w:rPr>
              <w:t>origin</w:t>
            </w:r>
            <w:r>
              <w:rPr>
                <w:spacing w:val="-2"/>
                <w:sz w:val="24"/>
              </w:rPr>
              <w:t> </w:t>
            </w:r>
            <w:r>
              <w:rPr>
                <w:sz w:val="24"/>
              </w:rPr>
              <w:t>of</w:t>
            </w:r>
            <w:r>
              <w:rPr>
                <w:spacing w:val="-4"/>
                <w:sz w:val="24"/>
              </w:rPr>
              <w:t> </w:t>
            </w:r>
            <w:r>
              <w:rPr>
                <w:sz w:val="24"/>
              </w:rPr>
              <w:t>the</w:t>
            </w:r>
            <w:r>
              <w:rPr>
                <w:spacing w:val="-2"/>
                <w:sz w:val="24"/>
              </w:rPr>
              <w:t> </w:t>
            </w:r>
            <w:r>
              <w:rPr>
                <w:sz w:val="24"/>
              </w:rPr>
              <w:t>data</w:t>
            </w:r>
            <w:r>
              <w:rPr>
                <w:spacing w:val="-1"/>
                <w:sz w:val="24"/>
              </w:rPr>
              <w:t> </w:t>
            </w:r>
            <w:r>
              <w:rPr>
                <w:spacing w:val="-2"/>
                <w:sz w:val="24"/>
              </w:rPr>
              <w:t>subject</w:t>
            </w:r>
          </w:p>
          <w:p>
            <w:pPr>
              <w:pStyle w:val="TableParagraph"/>
              <w:numPr>
                <w:ilvl w:val="0"/>
                <w:numId w:val="4"/>
              </w:numPr>
              <w:tabs>
                <w:tab w:pos="828" w:val="left" w:leader="none"/>
              </w:tabs>
              <w:spacing w:line="240" w:lineRule="auto" w:before="39" w:after="0"/>
              <w:ind w:left="828" w:right="0" w:hanging="360"/>
              <w:jc w:val="left"/>
              <w:rPr>
                <w:sz w:val="24"/>
              </w:rPr>
            </w:pPr>
            <w:r>
              <w:rPr>
                <w:sz w:val="24"/>
              </w:rPr>
              <w:t>Their</w:t>
            </w:r>
            <w:r>
              <w:rPr>
                <w:spacing w:val="-5"/>
                <w:sz w:val="24"/>
              </w:rPr>
              <w:t> </w:t>
            </w:r>
            <w:r>
              <w:rPr>
                <w:sz w:val="24"/>
              </w:rPr>
              <w:t>political</w:t>
            </w:r>
            <w:r>
              <w:rPr>
                <w:spacing w:val="-2"/>
                <w:sz w:val="24"/>
              </w:rPr>
              <w:t> opinions</w:t>
            </w:r>
          </w:p>
          <w:p>
            <w:pPr>
              <w:pStyle w:val="TableParagraph"/>
              <w:numPr>
                <w:ilvl w:val="0"/>
                <w:numId w:val="4"/>
              </w:numPr>
              <w:tabs>
                <w:tab w:pos="828" w:val="left" w:leader="none"/>
              </w:tabs>
              <w:spacing w:line="240" w:lineRule="auto" w:before="40" w:after="0"/>
              <w:ind w:left="828" w:right="0" w:hanging="360"/>
              <w:jc w:val="left"/>
              <w:rPr>
                <w:sz w:val="24"/>
              </w:rPr>
            </w:pPr>
            <w:r>
              <w:rPr>
                <w:sz w:val="24"/>
              </w:rPr>
              <w:t>Their</w:t>
            </w:r>
            <w:r>
              <w:rPr>
                <w:spacing w:val="-6"/>
                <w:sz w:val="24"/>
              </w:rPr>
              <w:t> </w:t>
            </w:r>
            <w:r>
              <w:rPr>
                <w:sz w:val="24"/>
              </w:rPr>
              <w:t>religious</w:t>
            </w:r>
            <w:r>
              <w:rPr>
                <w:spacing w:val="-4"/>
                <w:sz w:val="24"/>
              </w:rPr>
              <w:t> </w:t>
            </w:r>
            <w:r>
              <w:rPr>
                <w:sz w:val="24"/>
              </w:rPr>
              <w:t>beliefs</w:t>
            </w:r>
            <w:r>
              <w:rPr>
                <w:spacing w:val="-3"/>
                <w:sz w:val="24"/>
              </w:rPr>
              <w:t> </w:t>
            </w:r>
            <w:r>
              <w:rPr>
                <w:sz w:val="24"/>
              </w:rPr>
              <w:t>or</w:t>
            </w:r>
            <w:r>
              <w:rPr>
                <w:spacing w:val="-2"/>
                <w:sz w:val="24"/>
              </w:rPr>
              <w:t> </w:t>
            </w:r>
            <w:r>
              <w:rPr>
                <w:sz w:val="24"/>
              </w:rPr>
              <w:t>other beliefs</w:t>
            </w:r>
            <w:r>
              <w:rPr>
                <w:spacing w:val="-3"/>
                <w:sz w:val="24"/>
              </w:rPr>
              <w:t> </w:t>
            </w:r>
            <w:r>
              <w:rPr>
                <w:sz w:val="24"/>
              </w:rPr>
              <w:t>of</w:t>
            </w:r>
            <w:r>
              <w:rPr>
                <w:spacing w:val="-4"/>
                <w:sz w:val="24"/>
              </w:rPr>
              <w:t> </w:t>
            </w:r>
            <w:r>
              <w:rPr>
                <w:sz w:val="24"/>
              </w:rPr>
              <w:t>a</w:t>
            </w:r>
            <w:r>
              <w:rPr>
                <w:spacing w:val="-2"/>
                <w:sz w:val="24"/>
              </w:rPr>
              <w:t> </w:t>
            </w:r>
            <w:r>
              <w:rPr>
                <w:sz w:val="24"/>
              </w:rPr>
              <w:t>similar</w:t>
            </w:r>
            <w:r>
              <w:rPr>
                <w:spacing w:val="-1"/>
                <w:sz w:val="24"/>
              </w:rPr>
              <w:t> </w:t>
            </w:r>
            <w:r>
              <w:rPr>
                <w:spacing w:val="-2"/>
                <w:sz w:val="24"/>
              </w:rPr>
              <w:t>nature</w:t>
            </w:r>
          </w:p>
          <w:p>
            <w:pPr>
              <w:pStyle w:val="TableParagraph"/>
              <w:numPr>
                <w:ilvl w:val="0"/>
                <w:numId w:val="4"/>
              </w:numPr>
              <w:tabs>
                <w:tab w:pos="828" w:val="left" w:leader="none"/>
              </w:tabs>
              <w:spacing w:line="273" w:lineRule="auto" w:before="39" w:after="0"/>
              <w:ind w:left="828" w:right="103" w:hanging="361"/>
              <w:jc w:val="both"/>
              <w:rPr>
                <w:sz w:val="24"/>
              </w:rPr>
            </w:pPr>
            <w:r>
              <w:rPr>
                <w:sz w:val="24"/>
              </w:rPr>
              <w:t>Whether</w:t>
            </w:r>
            <w:r>
              <w:rPr>
                <w:spacing w:val="-9"/>
                <w:sz w:val="24"/>
              </w:rPr>
              <w:t> </w:t>
            </w:r>
            <w:r>
              <w:rPr>
                <w:sz w:val="24"/>
              </w:rPr>
              <w:t>a</w:t>
            </w:r>
            <w:r>
              <w:rPr>
                <w:spacing w:val="-6"/>
                <w:sz w:val="24"/>
              </w:rPr>
              <w:t> </w:t>
            </w:r>
            <w:r>
              <w:rPr>
                <w:sz w:val="24"/>
              </w:rPr>
              <w:t>member</w:t>
            </w:r>
            <w:r>
              <w:rPr>
                <w:spacing w:val="-7"/>
                <w:sz w:val="24"/>
              </w:rPr>
              <w:t> </w:t>
            </w:r>
            <w:r>
              <w:rPr>
                <w:sz w:val="24"/>
              </w:rPr>
              <w:t>of</w:t>
            </w:r>
            <w:r>
              <w:rPr>
                <w:spacing w:val="-8"/>
                <w:sz w:val="24"/>
              </w:rPr>
              <w:t> </w:t>
            </w:r>
            <w:r>
              <w:rPr>
                <w:sz w:val="24"/>
              </w:rPr>
              <w:t>a</w:t>
            </w:r>
            <w:r>
              <w:rPr>
                <w:spacing w:val="-6"/>
                <w:sz w:val="24"/>
              </w:rPr>
              <w:t> </w:t>
            </w:r>
            <w:r>
              <w:rPr>
                <w:sz w:val="24"/>
              </w:rPr>
              <w:t>trade</w:t>
            </w:r>
            <w:r>
              <w:rPr>
                <w:spacing w:val="-6"/>
                <w:sz w:val="24"/>
              </w:rPr>
              <w:t> </w:t>
            </w:r>
            <w:r>
              <w:rPr>
                <w:sz w:val="24"/>
              </w:rPr>
              <w:t>union</w:t>
            </w:r>
            <w:r>
              <w:rPr>
                <w:spacing w:val="-6"/>
                <w:sz w:val="24"/>
              </w:rPr>
              <w:t> </w:t>
            </w:r>
            <w:r>
              <w:rPr>
                <w:sz w:val="24"/>
              </w:rPr>
              <w:t>(within</w:t>
            </w:r>
            <w:r>
              <w:rPr>
                <w:spacing w:val="-8"/>
                <w:sz w:val="24"/>
              </w:rPr>
              <w:t> </w:t>
            </w:r>
            <w:r>
              <w:rPr>
                <w:sz w:val="24"/>
              </w:rPr>
              <w:t>the</w:t>
            </w:r>
            <w:r>
              <w:rPr>
                <w:spacing w:val="-6"/>
                <w:sz w:val="24"/>
              </w:rPr>
              <w:t> </w:t>
            </w:r>
            <w:r>
              <w:rPr>
                <w:sz w:val="24"/>
              </w:rPr>
              <w:t>meaning</w:t>
            </w:r>
            <w:r>
              <w:rPr>
                <w:spacing w:val="-6"/>
                <w:sz w:val="24"/>
              </w:rPr>
              <w:t> </w:t>
            </w:r>
            <w:r>
              <w:rPr>
                <w:sz w:val="24"/>
              </w:rPr>
              <w:t>of the</w:t>
            </w:r>
            <w:r>
              <w:rPr>
                <w:spacing w:val="-3"/>
                <w:sz w:val="24"/>
              </w:rPr>
              <w:t> </w:t>
            </w:r>
            <w:r>
              <w:rPr>
                <w:sz w:val="24"/>
              </w:rPr>
              <w:t>Trade</w:t>
            </w:r>
            <w:r>
              <w:rPr>
                <w:spacing w:val="-3"/>
                <w:sz w:val="24"/>
              </w:rPr>
              <w:t> </w:t>
            </w:r>
            <w:r>
              <w:rPr>
                <w:sz w:val="24"/>
              </w:rPr>
              <w:t>Union</w:t>
            </w:r>
            <w:r>
              <w:rPr>
                <w:spacing w:val="-3"/>
                <w:sz w:val="24"/>
              </w:rPr>
              <w:t> </w:t>
            </w:r>
            <w:r>
              <w:rPr>
                <w:sz w:val="24"/>
              </w:rPr>
              <w:t>and</w:t>
            </w:r>
            <w:r>
              <w:rPr>
                <w:spacing w:val="-5"/>
                <w:sz w:val="24"/>
              </w:rPr>
              <w:t> </w:t>
            </w:r>
            <w:r>
              <w:rPr>
                <w:sz w:val="24"/>
              </w:rPr>
              <w:t>Labour</w:t>
            </w:r>
            <w:r>
              <w:rPr>
                <w:spacing w:val="-4"/>
                <w:sz w:val="24"/>
              </w:rPr>
              <w:t> </w:t>
            </w:r>
            <w:r>
              <w:rPr>
                <w:sz w:val="24"/>
              </w:rPr>
              <w:t>Relations</w:t>
            </w:r>
            <w:r>
              <w:rPr>
                <w:spacing w:val="-5"/>
                <w:sz w:val="24"/>
              </w:rPr>
              <w:t> </w:t>
            </w:r>
            <w:r>
              <w:rPr>
                <w:sz w:val="24"/>
              </w:rPr>
              <w:t>(Consolidation)</w:t>
            </w:r>
            <w:r>
              <w:rPr>
                <w:spacing w:val="-5"/>
                <w:sz w:val="24"/>
              </w:rPr>
              <w:t> </w:t>
            </w:r>
            <w:r>
              <w:rPr>
                <w:sz w:val="24"/>
              </w:rPr>
              <w:t>Act </w:t>
            </w:r>
            <w:r>
              <w:rPr>
                <w:spacing w:val="-4"/>
                <w:sz w:val="24"/>
              </w:rPr>
              <w:t>1998</w:t>
            </w:r>
          </w:p>
          <w:p>
            <w:pPr>
              <w:pStyle w:val="TableParagraph"/>
              <w:numPr>
                <w:ilvl w:val="0"/>
                <w:numId w:val="4"/>
              </w:numPr>
              <w:tabs>
                <w:tab w:pos="828" w:val="left" w:leader="none"/>
              </w:tabs>
              <w:spacing w:line="240" w:lineRule="auto" w:before="6" w:after="0"/>
              <w:ind w:left="828" w:right="0" w:hanging="360"/>
              <w:jc w:val="both"/>
              <w:rPr>
                <w:sz w:val="24"/>
              </w:rPr>
            </w:pPr>
            <w:r>
              <w:rPr>
                <w:sz w:val="24"/>
              </w:rPr>
              <w:t>Genetic</w:t>
            </w:r>
            <w:r>
              <w:rPr>
                <w:spacing w:val="-2"/>
                <w:sz w:val="24"/>
              </w:rPr>
              <w:t> </w:t>
            </w:r>
            <w:r>
              <w:rPr>
                <w:spacing w:val="-4"/>
                <w:sz w:val="24"/>
              </w:rPr>
              <w:t>data</w:t>
            </w:r>
          </w:p>
          <w:p>
            <w:pPr>
              <w:pStyle w:val="TableParagraph"/>
              <w:numPr>
                <w:ilvl w:val="0"/>
                <w:numId w:val="4"/>
              </w:numPr>
              <w:tabs>
                <w:tab w:pos="828" w:val="left" w:leader="none"/>
              </w:tabs>
              <w:spacing w:line="271" w:lineRule="auto" w:before="40" w:after="0"/>
              <w:ind w:left="828" w:right="104" w:hanging="361"/>
              <w:jc w:val="left"/>
              <w:rPr>
                <w:sz w:val="24"/>
              </w:rPr>
            </w:pPr>
            <w:r>
              <w:rPr>
                <w:sz w:val="24"/>
              </w:rPr>
              <w:t>Biometric</w:t>
            </w:r>
            <w:r>
              <w:rPr>
                <w:spacing w:val="40"/>
                <w:sz w:val="24"/>
              </w:rPr>
              <w:t> </w:t>
            </w:r>
            <w:r>
              <w:rPr>
                <w:sz w:val="24"/>
              </w:rPr>
              <w:t>data</w:t>
            </w:r>
            <w:r>
              <w:rPr>
                <w:spacing w:val="40"/>
                <w:sz w:val="24"/>
              </w:rPr>
              <w:t> </w:t>
            </w:r>
            <w:r>
              <w:rPr>
                <w:sz w:val="24"/>
              </w:rPr>
              <w:t>for</w:t>
            </w:r>
            <w:r>
              <w:rPr>
                <w:spacing w:val="40"/>
                <w:sz w:val="24"/>
              </w:rPr>
              <w:t> </w:t>
            </w:r>
            <w:r>
              <w:rPr>
                <w:sz w:val="24"/>
              </w:rPr>
              <w:t>the</w:t>
            </w:r>
            <w:r>
              <w:rPr>
                <w:spacing w:val="40"/>
                <w:sz w:val="24"/>
              </w:rPr>
              <w:t> </w:t>
            </w:r>
            <w:r>
              <w:rPr>
                <w:sz w:val="24"/>
              </w:rPr>
              <w:t>purpose</w:t>
            </w:r>
            <w:r>
              <w:rPr>
                <w:spacing w:val="40"/>
                <w:sz w:val="24"/>
              </w:rPr>
              <w:t> </w:t>
            </w:r>
            <w:r>
              <w:rPr>
                <w:sz w:val="24"/>
              </w:rPr>
              <w:t>of</w:t>
            </w:r>
            <w:r>
              <w:rPr>
                <w:spacing w:val="40"/>
                <w:sz w:val="24"/>
              </w:rPr>
              <w:t> </w:t>
            </w:r>
            <w:r>
              <w:rPr>
                <w:sz w:val="24"/>
              </w:rPr>
              <w:t>uniquely</w:t>
            </w:r>
            <w:r>
              <w:rPr>
                <w:spacing w:val="40"/>
                <w:sz w:val="24"/>
              </w:rPr>
              <w:t> </w:t>
            </w:r>
            <w:r>
              <w:rPr>
                <w:sz w:val="24"/>
              </w:rPr>
              <w:t>identifying</w:t>
            </w:r>
            <w:r>
              <w:rPr>
                <w:spacing w:val="40"/>
                <w:sz w:val="24"/>
              </w:rPr>
              <w:t> </w:t>
            </w:r>
            <w:r>
              <w:rPr>
                <w:sz w:val="24"/>
              </w:rPr>
              <w:t>a natural person</w:t>
            </w:r>
          </w:p>
          <w:p>
            <w:pPr>
              <w:pStyle w:val="TableParagraph"/>
              <w:numPr>
                <w:ilvl w:val="0"/>
                <w:numId w:val="4"/>
              </w:numPr>
              <w:tabs>
                <w:tab w:pos="828" w:val="left" w:leader="none"/>
              </w:tabs>
              <w:spacing w:line="240" w:lineRule="auto" w:before="6" w:after="0"/>
              <w:ind w:left="828" w:right="0" w:hanging="360"/>
              <w:jc w:val="left"/>
              <w:rPr>
                <w:sz w:val="24"/>
              </w:rPr>
            </w:pPr>
            <w:r>
              <w:rPr>
                <w:sz w:val="24"/>
              </w:rPr>
              <w:t>Their</w:t>
            </w:r>
            <w:r>
              <w:rPr>
                <w:spacing w:val="-4"/>
                <w:sz w:val="24"/>
              </w:rPr>
              <w:t> </w:t>
            </w:r>
            <w:r>
              <w:rPr>
                <w:sz w:val="24"/>
              </w:rPr>
              <w:t>physical</w:t>
            </w:r>
            <w:r>
              <w:rPr>
                <w:spacing w:val="-4"/>
                <w:sz w:val="24"/>
              </w:rPr>
              <w:t> </w:t>
            </w:r>
            <w:r>
              <w:rPr>
                <w:sz w:val="24"/>
              </w:rPr>
              <w:t>or</w:t>
            </w:r>
            <w:r>
              <w:rPr>
                <w:spacing w:val="-2"/>
                <w:sz w:val="24"/>
              </w:rPr>
              <w:t> </w:t>
            </w:r>
            <w:r>
              <w:rPr>
                <w:sz w:val="24"/>
              </w:rPr>
              <w:t>mental</w:t>
            </w:r>
            <w:r>
              <w:rPr>
                <w:spacing w:val="-2"/>
                <w:sz w:val="24"/>
              </w:rPr>
              <w:t> </w:t>
            </w:r>
            <w:r>
              <w:rPr>
                <w:sz w:val="24"/>
              </w:rPr>
              <w:t>health</w:t>
            </w:r>
            <w:r>
              <w:rPr>
                <w:spacing w:val="-2"/>
                <w:sz w:val="24"/>
              </w:rPr>
              <w:t> </w:t>
            </w:r>
            <w:r>
              <w:rPr>
                <w:sz w:val="24"/>
              </w:rPr>
              <w:t>or</w:t>
            </w:r>
            <w:r>
              <w:rPr>
                <w:spacing w:val="-1"/>
                <w:sz w:val="24"/>
              </w:rPr>
              <w:t> </w:t>
            </w:r>
            <w:r>
              <w:rPr>
                <w:spacing w:val="-2"/>
                <w:sz w:val="24"/>
              </w:rPr>
              <w:t>condition</w:t>
            </w:r>
          </w:p>
          <w:p>
            <w:pPr>
              <w:pStyle w:val="TableParagraph"/>
              <w:numPr>
                <w:ilvl w:val="0"/>
                <w:numId w:val="4"/>
              </w:numPr>
              <w:tabs>
                <w:tab w:pos="828" w:val="left" w:leader="none"/>
              </w:tabs>
              <w:spacing w:line="240" w:lineRule="auto" w:before="40" w:after="0"/>
              <w:ind w:left="828" w:right="0" w:hanging="360"/>
              <w:jc w:val="left"/>
              <w:rPr>
                <w:sz w:val="24"/>
              </w:rPr>
            </w:pPr>
            <w:r>
              <w:rPr>
                <w:sz w:val="24"/>
              </w:rPr>
              <w:t>Their</w:t>
            </w:r>
            <w:r>
              <w:rPr>
                <w:spacing w:val="-5"/>
                <w:sz w:val="24"/>
              </w:rPr>
              <w:t> </w:t>
            </w:r>
            <w:r>
              <w:rPr>
                <w:sz w:val="24"/>
              </w:rPr>
              <w:t>sexual</w:t>
            </w:r>
            <w:r>
              <w:rPr>
                <w:spacing w:val="-1"/>
                <w:sz w:val="24"/>
              </w:rPr>
              <w:t> </w:t>
            </w:r>
            <w:r>
              <w:rPr>
                <w:spacing w:val="-4"/>
                <w:sz w:val="24"/>
              </w:rPr>
              <w:t>life</w:t>
            </w:r>
          </w:p>
        </w:tc>
      </w:tr>
      <w:tr>
        <w:trPr>
          <w:trHeight w:val="2208" w:hRule="atLeast"/>
        </w:trPr>
        <w:tc>
          <w:tcPr>
            <w:tcW w:w="1790" w:type="dxa"/>
          </w:tcPr>
          <w:p>
            <w:pPr>
              <w:pStyle w:val="TableParagraph"/>
              <w:ind w:left="107"/>
              <w:rPr>
                <w:rFonts w:ascii="Arial"/>
                <w:b/>
                <w:sz w:val="24"/>
              </w:rPr>
            </w:pPr>
            <w:r>
              <w:rPr>
                <w:rFonts w:ascii="Arial"/>
                <w:b/>
                <w:spacing w:val="-2"/>
                <w:sz w:val="24"/>
              </w:rPr>
              <w:t>Personal Confidential </w:t>
            </w:r>
            <w:r>
              <w:rPr>
                <w:rFonts w:ascii="Arial"/>
                <w:b/>
                <w:spacing w:val="-4"/>
                <w:sz w:val="24"/>
              </w:rPr>
              <w:t>Data</w:t>
            </w:r>
          </w:p>
        </w:tc>
        <w:tc>
          <w:tcPr>
            <w:tcW w:w="7120" w:type="dxa"/>
          </w:tcPr>
          <w:p>
            <w:pPr>
              <w:pStyle w:val="TableParagraph"/>
              <w:ind w:right="102"/>
              <w:jc w:val="both"/>
              <w:rPr>
                <w:sz w:val="24"/>
              </w:rPr>
            </w:pPr>
            <w:r>
              <w:rPr>
                <w:sz w:val="24"/>
              </w:rPr>
              <w:t>Personal</w:t>
            </w:r>
            <w:r>
              <w:rPr>
                <w:spacing w:val="-12"/>
                <w:sz w:val="24"/>
              </w:rPr>
              <w:t> </w:t>
            </w:r>
            <w:r>
              <w:rPr>
                <w:sz w:val="24"/>
              </w:rPr>
              <w:t>and</w:t>
            </w:r>
            <w:r>
              <w:rPr>
                <w:spacing w:val="-12"/>
                <w:sz w:val="24"/>
              </w:rPr>
              <w:t> </w:t>
            </w:r>
            <w:r>
              <w:rPr>
                <w:sz w:val="24"/>
              </w:rPr>
              <w:t>Special</w:t>
            </w:r>
            <w:r>
              <w:rPr>
                <w:spacing w:val="-15"/>
                <w:sz w:val="24"/>
              </w:rPr>
              <w:t> </w:t>
            </w:r>
            <w:r>
              <w:rPr>
                <w:sz w:val="24"/>
              </w:rPr>
              <w:t>Categories</w:t>
            </w:r>
            <w:r>
              <w:rPr>
                <w:spacing w:val="-11"/>
                <w:sz w:val="24"/>
              </w:rPr>
              <w:t> </w:t>
            </w:r>
            <w:r>
              <w:rPr>
                <w:sz w:val="24"/>
              </w:rPr>
              <w:t>of</w:t>
            </w:r>
            <w:r>
              <w:rPr>
                <w:spacing w:val="-12"/>
                <w:sz w:val="24"/>
              </w:rPr>
              <w:t> </w:t>
            </w:r>
            <w:r>
              <w:rPr>
                <w:sz w:val="24"/>
              </w:rPr>
              <w:t>Personal</w:t>
            </w:r>
            <w:r>
              <w:rPr>
                <w:spacing w:val="-13"/>
                <w:sz w:val="24"/>
              </w:rPr>
              <w:t> </w:t>
            </w:r>
            <w:r>
              <w:rPr>
                <w:sz w:val="24"/>
              </w:rPr>
              <w:t>Data</w:t>
            </w:r>
            <w:r>
              <w:rPr>
                <w:spacing w:val="-12"/>
                <w:sz w:val="24"/>
              </w:rPr>
              <w:t> </w:t>
            </w:r>
            <w:r>
              <w:rPr>
                <w:sz w:val="24"/>
              </w:rPr>
              <w:t>owed</w:t>
            </w:r>
            <w:r>
              <w:rPr>
                <w:spacing w:val="-12"/>
                <w:sz w:val="24"/>
              </w:rPr>
              <w:t> </w:t>
            </w:r>
            <w:r>
              <w:rPr>
                <w:sz w:val="24"/>
              </w:rPr>
              <w:t>a</w:t>
            </w:r>
            <w:r>
              <w:rPr>
                <w:spacing w:val="-12"/>
                <w:sz w:val="24"/>
              </w:rPr>
              <w:t> </w:t>
            </w:r>
            <w:r>
              <w:rPr>
                <w:sz w:val="24"/>
              </w:rPr>
              <w:t>duty</w:t>
            </w:r>
            <w:r>
              <w:rPr>
                <w:spacing w:val="-11"/>
                <w:sz w:val="24"/>
              </w:rPr>
              <w:t> </w:t>
            </w:r>
            <w:r>
              <w:rPr>
                <w:sz w:val="24"/>
              </w:rPr>
              <w:t>of confidentiality (under the common law).</w:t>
            </w:r>
            <w:r>
              <w:rPr>
                <w:spacing w:val="40"/>
                <w:sz w:val="24"/>
              </w:rPr>
              <w:t> </w:t>
            </w:r>
            <w:r>
              <w:rPr>
                <w:sz w:val="24"/>
              </w:rPr>
              <w:t>This term describes personal information about identified or identifiable individuals, which should be kept private or secret.</w:t>
            </w:r>
            <w:r>
              <w:rPr>
                <w:spacing w:val="40"/>
                <w:sz w:val="24"/>
              </w:rPr>
              <w:t> </w:t>
            </w:r>
            <w:r>
              <w:rPr>
                <w:sz w:val="24"/>
              </w:rPr>
              <w:t>The definition includes dead as well as living people and ‘confidential’ includes information</w:t>
            </w:r>
            <w:r>
              <w:rPr>
                <w:spacing w:val="-8"/>
                <w:sz w:val="24"/>
              </w:rPr>
              <w:t> </w:t>
            </w:r>
            <w:r>
              <w:rPr>
                <w:sz w:val="24"/>
              </w:rPr>
              <w:t>‘given</w:t>
            </w:r>
            <w:r>
              <w:rPr>
                <w:spacing w:val="-8"/>
                <w:sz w:val="24"/>
              </w:rPr>
              <w:t> </w:t>
            </w:r>
            <w:r>
              <w:rPr>
                <w:sz w:val="24"/>
              </w:rPr>
              <w:t>in</w:t>
            </w:r>
            <w:r>
              <w:rPr>
                <w:spacing w:val="-8"/>
                <w:sz w:val="24"/>
              </w:rPr>
              <w:t> </w:t>
            </w:r>
            <w:r>
              <w:rPr>
                <w:sz w:val="24"/>
              </w:rPr>
              <w:t>confidence’</w:t>
            </w:r>
            <w:r>
              <w:rPr>
                <w:spacing w:val="-9"/>
                <w:sz w:val="24"/>
              </w:rPr>
              <w:t> </w:t>
            </w:r>
            <w:r>
              <w:rPr>
                <w:sz w:val="24"/>
              </w:rPr>
              <w:t>and</w:t>
            </w:r>
            <w:r>
              <w:rPr>
                <w:spacing w:val="-8"/>
                <w:sz w:val="24"/>
              </w:rPr>
              <w:t> </w:t>
            </w:r>
            <w:r>
              <w:rPr>
                <w:sz w:val="24"/>
              </w:rPr>
              <w:t>‘that</w:t>
            </w:r>
            <w:r>
              <w:rPr>
                <w:spacing w:val="-8"/>
                <w:sz w:val="24"/>
              </w:rPr>
              <w:t> </w:t>
            </w:r>
            <w:r>
              <w:rPr>
                <w:sz w:val="24"/>
              </w:rPr>
              <w:t>which</w:t>
            </w:r>
            <w:r>
              <w:rPr>
                <w:spacing w:val="-8"/>
                <w:sz w:val="24"/>
              </w:rPr>
              <w:t> </w:t>
            </w:r>
            <w:r>
              <w:rPr>
                <w:sz w:val="24"/>
              </w:rPr>
              <w:t>is</w:t>
            </w:r>
            <w:r>
              <w:rPr>
                <w:spacing w:val="-9"/>
                <w:sz w:val="24"/>
              </w:rPr>
              <w:t> </w:t>
            </w:r>
            <w:r>
              <w:rPr>
                <w:sz w:val="24"/>
              </w:rPr>
              <w:t>owed</w:t>
            </w:r>
            <w:r>
              <w:rPr>
                <w:spacing w:val="-10"/>
                <w:sz w:val="24"/>
              </w:rPr>
              <w:t> </w:t>
            </w:r>
            <w:r>
              <w:rPr>
                <w:sz w:val="24"/>
              </w:rPr>
              <w:t>a</w:t>
            </w:r>
            <w:r>
              <w:rPr>
                <w:spacing w:val="-8"/>
                <w:sz w:val="24"/>
              </w:rPr>
              <w:t> </w:t>
            </w:r>
            <w:r>
              <w:rPr>
                <w:sz w:val="24"/>
              </w:rPr>
              <w:t>duty</w:t>
            </w:r>
            <w:r>
              <w:rPr>
                <w:spacing w:val="-8"/>
                <w:sz w:val="24"/>
              </w:rPr>
              <w:t> </w:t>
            </w:r>
            <w:r>
              <w:rPr>
                <w:sz w:val="24"/>
              </w:rPr>
              <w:t>of confidence’.</w:t>
            </w:r>
            <w:r>
              <w:rPr>
                <w:spacing w:val="55"/>
                <w:w w:val="150"/>
                <w:sz w:val="24"/>
              </w:rPr>
              <w:t>  </w:t>
            </w:r>
            <w:r>
              <w:rPr>
                <w:sz w:val="24"/>
              </w:rPr>
              <w:t>The</w:t>
            </w:r>
            <w:r>
              <w:rPr>
                <w:spacing w:val="56"/>
                <w:w w:val="150"/>
                <w:sz w:val="24"/>
              </w:rPr>
              <w:t> </w:t>
            </w:r>
            <w:r>
              <w:rPr>
                <w:sz w:val="24"/>
              </w:rPr>
              <w:t>term</w:t>
            </w:r>
            <w:r>
              <w:rPr>
                <w:spacing w:val="57"/>
                <w:w w:val="150"/>
                <w:sz w:val="24"/>
              </w:rPr>
              <w:t> </w:t>
            </w:r>
            <w:r>
              <w:rPr>
                <w:sz w:val="24"/>
              </w:rPr>
              <w:t>is</w:t>
            </w:r>
            <w:r>
              <w:rPr>
                <w:spacing w:val="55"/>
                <w:w w:val="150"/>
                <w:sz w:val="24"/>
              </w:rPr>
              <w:t> </w:t>
            </w:r>
            <w:r>
              <w:rPr>
                <w:sz w:val="24"/>
              </w:rPr>
              <w:t>used</w:t>
            </w:r>
            <w:r>
              <w:rPr>
                <w:spacing w:val="56"/>
                <w:w w:val="150"/>
                <w:sz w:val="24"/>
              </w:rPr>
              <w:t> </w:t>
            </w:r>
            <w:r>
              <w:rPr>
                <w:sz w:val="24"/>
              </w:rPr>
              <w:t>in</w:t>
            </w:r>
            <w:r>
              <w:rPr>
                <w:spacing w:val="55"/>
                <w:w w:val="150"/>
                <w:sz w:val="24"/>
              </w:rPr>
              <w:t> </w:t>
            </w:r>
            <w:r>
              <w:rPr>
                <w:sz w:val="24"/>
              </w:rPr>
              <w:t>the</w:t>
            </w:r>
            <w:r>
              <w:rPr>
                <w:spacing w:val="56"/>
                <w:w w:val="150"/>
                <w:sz w:val="24"/>
              </w:rPr>
              <w:t> </w:t>
            </w:r>
            <w:r>
              <w:rPr>
                <w:sz w:val="24"/>
              </w:rPr>
              <w:t>Caldicott</w:t>
            </w:r>
            <w:r>
              <w:rPr>
                <w:spacing w:val="56"/>
                <w:w w:val="150"/>
                <w:sz w:val="24"/>
              </w:rPr>
              <w:t> </w:t>
            </w:r>
            <w:r>
              <w:rPr>
                <w:sz w:val="24"/>
              </w:rPr>
              <w:t>2</w:t>
            </w:r>
            <w:r>
              <w:rPr>
                <w:spacing w:val="55"/>
                <w:w w:val="150"/>
                <w:sz w:val="24"/>
              </w:rPr>
              <w:t> </w:t>
            </w:r>
            <w:r>
              <w:rPr>
                <w:spacing w:val="-2"/>
                <w:sz w:val="24"/>
              </w:rPr>
              <w:t>Review:</w:t>
            </w:r>
          </w:p>
          <w:p>
            <w:pPr>
              <w:pStyle w:val="TableParagraph"/>
              <w:spacing w:line="255" w:lineRule="exact" w:before="1"/>
              <w:jc w:val="both"/>
              <w:rPr>
                <w:sz w:val="24"/>
              </w:rPr>
            </w:pPr>
            <w:r>
              <w:rPr>
                <w:sz w:val="24"/>
              </w:rPr>
              <w:t>Information:</w:t>
            </w:r>
            <w:r>
              <w:rPr>
                <w:spacing w:val="-4"/>
                <w:sz w:val="24"/>
              </w:rPr>
              <w:t> </w:t>
            </w:r>
            <w:r>
              <w:rPr>
                <w:sz w:val="24"/>
              </w:rPr>
              <w:t>to</w:t>
            </w:r>
            <w:r>
              <w:rPr>
                <w:spacing w:val="-3"/>
                <w:sz w:val="24"/>
              </w:rPr>
              <w:t> </w:t>
            </w:r>
            <w:r>
              <w:rPr>
                <w:sz w:val="24"/>
              </w:rPr>
              <w:t>share</w:t>
            </w:r>
            <w:r>
              <w:rPr>
                <w:spacing w:val="-3"/>
                <w:sz w:val="24"/>
              </w:rPr>
              <w:t> </w:t>
            </w:r>
            <w:r>
              <w:rPr>
                <w:sz w:val="24"/>
              </w:rPr>
              <w:t>or</w:t>
            </w:r>
            <w:r>
              <w:rPr>
                <w:spacing w:val="-3"/>
                <w:sz w:val="24"/>
              </w:rPr>
              <w:t> </w:t>
            </w:r>
            <w:r>
              <w:rPr>
                <w:sz w:val="24"/>
              </w:rPr>
              <w:t>not</w:t>
            </w:r>
            <w:r>
              <w:rPr>
                <w:spacing w:val="-4"/>
                <w:sz w:val="24"/>
              </w:rPr>
              <w:t> </w:t>
            </w:r>
            <w:r>
              <w:rPr>
                <w:sz w:val="24"/>
              </w:rPr>
              <w:t>to</w:t>
            </w:r>
            <w:r>
              <w:rPr>
                <w:spacing w:val="-3"/>
                <w:sz w:val="24"/>
              </w:rPr>
              <w:t> </w:t>
            </w:r>
            <w:r>
              <w:rPr>
                <w:sz w:val="24"/>
              </w:rPr>
              <w:t>share</w:t>
            </w:r>
            <w:r>
              <w:rPr>
                <w:spacing w:val="-3"/>
                <w:sz w:val="24"/>
              </w:rPr>
              <w:t> </w:t>
            </w:r>
            <w:r>
              <w:rPr>
                <w:sz w:val="24"/>
              </w:rPr>
              <w:t>(published</w:t>
            </w:r>
            <w:r>
              <w:rPr>
                <w:spacing w:val="-3"/>
                <w:sz w:val="24"/>
              </w:rPr>
              <w:t> </w:t>
            </w:r>
            <w:r>
              <w:rPr>
                <w:sz w:val="24"/>
              </w:rPr>
              <w:t>March</w:t>
            </w:r>
            <w:r>
              <w:rPr>
                <w:spacing w:val="-3"/>
                <w:sz w:val="24"/>
              </w:rPr>
              <w:t> </w:t>
            </w:r>
            <w:r>
              <w:rPr>
                <w:spacing w:val="-2"/>
                <w:sz w:val="24"/>
              </w:rPr>
              <w:t>2013).</w:t>
            </w:r>
          </w:p>
        </w:tc>
      </w:tr>
      <w:tr>
        <w:trPr>
          <w:trHeight w:val="1382" w:hRule="atLeast"/>
        </w:trPr>
        <w:tc>
          <w:tcPr>
            <w:tcW w:w="1790" w:type="dxa"/>
          </w:tcPr>
          <w:p>
            <w:pPr>
              <w:pStyle w:val="TableParagraph"/>
              <w:ind w:left="107"/>
              <w:rPr>
                <w:rFonts w:ascii="Arial"/>
                <w:b/>
                <w:sz w:val="24"/>
              </w:rPr>
            </w:pPr>
            <w:r>
              <w:rPr>
                <w:rFonts w:ascii="Arial"/>
                <w:b/>
                <w:spacing w:val="-2"/>
                <w:sz w:val="24"/>
              </w:rPr>
              <w:t>Commercially confidential Information</w:t>
            </w:r>
          </w:p>
        </w:tc>
        <w:tc>
          <w:tcPr>
            <w:tcW w:w="7120" w:type="dxa"/>
          </w:tcPr>
          <w:p>
            <w:pPr>
              <w:pStyle w:val="TableParagraph"/>
              <w:spacing w:line="270" w:lineRule="atLeast"/>
              <w:ind w:right="103"/>
              <w:jc w:val="both"/>
              <w:rPr>
                <w:sz w:val="24"/>
              </w:rPr>
            </w:pPr>
            <w:r>
              <w:rPr>
                <w:sz w:val="24"/>
              </w:rPr>
              <w:t>Business/Commercial information, including that subject to statutory or regulatory obligations, which may be damaging to SCW CSU or a commercial partner if improperly accessed or shared.</w:t>
            </w:r>
            <w:r>
              <w:rPr>
                <w:spacing w:val="40"/>
                <w:sz w:val="24"/>
              </w:rPr>
              <w:t> </w:t>
            </w:r>
            <w:r>
              <w:rPr>
                <w:sz w:val="24"/>
              </w:rPr>
              <w:t>Also as defined in the Freedom of Information Act 2000 and the Environmental Information Regulations.</w:t>
            </w:r>
          </w:p>
        </w:tc>
      </w:tr>
    </w:tbl>
    <w:p>
      <w:pPr>
        <w:pStyle w:val="Heading2"/>
        <w:numPr>
          <w:ilvl w:val="0"/>
          <w:numId w:val="2"/>
        </w:numPr>
        <w:tabs>
          <w:tab w:pos="880" w:val="left" w:leader="none"/>
        </w:tabs>
        <w:spacing w:line="240" w:lineRule="auto" w:before="241" w:after="0"/>
        <w:ind w:left="880" w:right="0" w:hanging="360"/>
        <w:jc w:val="left"/>
      </w:pPr>
      <w:bookmarkStart w:name="_bookmark10" w:id="11"/>
      <w:bookmarkEnd w:id="11"/>
      <w:r>
        <w:rPr/>
      </w:r>
      <w:r>
        <w:rPr>
          <w:color w:val="1C1F62"/>
        </w:rPr>
        <w:t>Information</w:t>
      </w:r>
      <w:r>
        <w:rPr>
          <w:color w:val="1C1F62"/>
          <w:spacing w:val="-9"/>
        </w:rPr>
        <w:t> </w:t>
      </w:r>
      <w:r>
        <w:rPr>
          <w:color w:val="1C1F62"/>
          <w:spacing w:val="-2"/>
        </w:rPr>
        <w:t>Governance</w:t>
      </w:r>
    </w:p>
    <w:p>
      <w:pPr>
        <w:pStyle w:val="ListParagraph"/>
        <w:numPr>
          <w:ilvl w:val="0"/>
          <w:numId w:val="5"/>
        </w:numPr>
        <w:tabs>
          <w:tab w:pos="880" w:val="left" w:leader="none"/>
        </w:tabs>
        <w:spacing w:line="271" w:lineRule="auto" w:before="29" w:after="0"/>
        <w:ind w:left="880" w:right="404" w:hanging="361"/>
        <w:jc w:val="both"/>
        <w:rPr>
          <w:sz w:val="24"/>
        </w:rPr>
      </w:pPr>
      <w:r>
        <w:rPr>
          <w:sz w:val="24"/>
        </w:rPr>
        <w:t>The ICB will</w:t>
      </w:r>
      <w:r>
        <w:rPr>
          <w:spacing w:val="-2"/>
          <w:sz w:val="24"/>
        </w:rPr>
        <w:t> </w:t>
      </w:r>
      <w:r>
        <w:rPr>
          <w:sz w:val="24"/>
        </w:rPr>
        <w:t>ensure</w:t>
      </w:r>
      <w:r>
        <w:rPr>
          <w:spacing w:val="-1"/>
          <w:sz w:val="24"/>
        </w:rPr>
        <w:t> </w:t>
      </w:r>
      <w:r>
        <w:rPr>
          <w:sz w:val="24"/>
        </w:rPr>
        <w:t>that it</w:t>
      </w:r>
      <w:r>
        <w:rPr>
          <w:spacing w:val="-3"/>
          <w:sz w:val="24"/>
        </w:rPr>
        <w:t> </w:t>
      </w:r>
      <w:r>
        <w:rPr>
          <w:sz w:val="24"/>
        </w:rPr>
        <w:t>meets its</w:t>
      </w:r>
      <w:r>
        <w:rPr>
          <w:spacing w:val="-1"/>
          <w:sz w:val="24"/>
        </w:rPr>
        <w:t> </w:t>
      </w:r>
      <w:r>
        <w:rPr>
          <w:sz w:val="24"/>
        </w:rPr>
        <w:t>national</w:t>
      </w:r>
      <w:r>
        <w:rPr>
          <w:spacing w:val="-3"/>
          <w:sz w:val="24"/>
        </w:rPr>
        <w:t> </w:t>
      </w:r>
      <w:r>
        <w:rPr>
          <w:sz w:val="24"/>
        </w:rPr>
        <w:t>requirements</w:t>
      </w:r>
      <w:r>
        <w:rPr>
          <w:spacing w:val="-3"/>
          <w:sz w:val="24"/>
        </w:rPr>
        <w:t> </w:t>
      </w:r>
      <w:r>
        <w:rPr>
          <w:sz w:val="24"/>
        </w:rPr>
        <w:t>in respect of its</w:t>
      </w:r>
      <w:r>
        <w:rPr>
          <w:spacing w:val="-1"/>
          <w:sz w:val="24"/>
        </w:rPr>
        <w:t> </w:t>
      </w:r>
      <w:r>
        <w:rPr>
          <w:sz w:val="24"/>
        </w:rPr>
        <w:t>submission</w:t>
      </w:r>
      <w:r>
        <w:rPr>
          <w:spacing w:val="-3"/>
          <w:sz w:val="24"/>
        </w:rPr>
        <w:t> </w:t>
      </w:r>
      <w:r>
        <w:rPr>
          <w:sz w:val="24"/>
        </w:rPr>
        <w:t>of the annual self-assessment Data Security and Protection Toolkit (DSPT).</w:t>
      </w:r>
    </w:p>
    <w:p>
      <w:pPr>
        <w:pStyle w:val="ListParagraph"/>
        <w:numPr>
          <w:ilvl w:val="0"/>
          <w:numId w:val="5"/>
        </w:numPr>
        <w:tabs>
          <w:tab w:pos="880" w:val="left" w:leader="none"/>
        </w:tabs>
        <w:spacing w:line="271" w:lineRule="auto" w:before="7" w:after="0"/>
        <w:ind w:left="880" w:right="405" w:hanging="361"/>
        <w:jc w:val="both"/>
        <w:rPr>
          <w:sz w:val="24"/>
        </w:rPr>
      </w:pPr>
      <w:r>
        <w:rPr>
          <w:sz w:val="24"/>
        </w:rPr>
        <w:t>Non-confidential</w:t>
      </w:r>
      <w:r>
        <w:rPr>
          <w:spacing w:val="-1"/>
          <w:sz w:val="24"/>
        </w:rPr>
        <w:t> </w:t>
      </w:r>
      <w:r>
        <w:rPr>
          <w:sz w:val="24"/>
        </w:rPr>
        <w:t>information about the ICB</w:t>
      </w:r>
      <w:r>
        <w:rPr>
          <w:spacing w:val="-3"/>
          <w:sz w:val="24"/>
        </w:rPr>
        <w:t> </w:t>
      </w:r>
      <w:r>
        <w:rPr>
          <w:sz w:val="24"/>
        </w:rPr>
        <w:t>and its</w:t>
      </w:r>
      <w:r>
        <w:rPr>
          <w:spacing w:val="-1"/>
          <w:sz w:val="24"/>
        </w:rPr>
        <w:t> </w:t>
      </w:r>
      <w:r>
        <w:rPr>
          <w:sz w:val="24"/>
        </w:rPr>
        <w:t>services</w:t>
      </w:r>
      <w:r>
        <w:rPr>
          <w:spacing w:val="-1"/>
          <w:sz w:val="24"/>
        </w:rPr>
        <w:t> </w:t>
      </w:r>
      <w:r>
        <w:rPr>
          <w:sz w:val="24"/>
        </w:rPr>
        <w:t>will</w:t>
      </w:r>
      <w:r>
        <w:rPr>
          <w:spacing w:val="-2"/>
          <w:sz w:val="24"/>
        </w:rPr>
        <w:t> </w:t>
      </w:r>
      <w:r>
        <w:rPr>
          <w:sz w:val="24"/>
        </w:rPr>
        <w:t>be available</w:t>
      </w:r>
      <w:r>
        <w:rPr>
          <w:spacing w:val="-3"/>
          <w:sz w:val="24"/>
        </w:rPr>
        <w:t> </w:t>
      </w:r>
      <w:r>
        <w:rPr>
          <w:sz w:val="24"/>
        </w:rPr>
        <w:t>to the public through a variety of media.</w:t>
      </w:r>
    </w:p>
    <w:p>
      <w:pPr>
        <w:pStyle w:val="ListParagraph"/>
        <w:numPr>
          <w:ilvl w:val="0"/>
          <w:numId w:val="5"/>
        </w:numPr>
        <w:tabs>
          <w:tab w:pos="880" w:val="left" w:leader="none"/>
        </w:tabs>
        <w:spacing w:line="271" w:lineRule="auto" w:before="9" w:after="0"/>
        <w:ind w:left="880" w:right="402" w:hanging="361"/>
        <w:jc w:val="both"/>
        <w:rPr>
          <w:sz w:val="24"/>
        </w:rPr>
      </w:pPr>
      <w:r>
        <w:rPr>
          <w:sz w:val="24"/>
        </w:rPr>
        <w:t>The</w:t>
      </w:r>
      <w:r>
        <w:rPr>
          <w:spacing w:val="-5"/>
          <w:sz w:val="24"/>
        </w:rPr>
        <w:t> </w:t>
      </w:r>
      <w:r>
        <w:rPr>
          <w:sz w:val="24"/>
        </w:rPr>
        <w:t>ICB</w:t>
      </w:r>
      <w:r>
        <w:rPr>
          <w:spacing w:val="-3"/>
          <w:sz w:val="24"/>
        </w:rPr>
        <w:t> </w:t>
      </w:r>
      <w:r>
        <w:rPr>
          <w:sz w:val="24"/>
        </w:rPr>
        <w:t>will</w:t>
      </w:r>
      <w:r>
        <w:rPr>
          <w:spacing w:val="-6"/>
          <w:sz w:val="24"/>
        </w:rPr>
        <w:t> </w:t>
      </w:r>
      <w:r>
        <w:rPr>
          <w:sz w:val="24"/>
        </w:rPr>
        <w:t>maintain</w:t>
      </w:r>
      <w:r>
        <w:rPr>
          <w:spacing w:val="-5"/>
          <w:sz w:val="24"/>
        </w:rPr>
        <w:t> </w:t>
      </w:r>
      <w:r>
        <w:rPr>
          <w:sz w:val="24"/>
        </w:rPr>
        <w:t>policies</w:t>
      </w:r>
      <w:r>
        <w:rPr>
          <w:spacing w:val="-3"/>
          <w:sz w:val="24"/>
        </w:rPr>
        <w:t> </w:t>
      </w:r>
      <w:r>
        <w:rPr>
          <w:sz w:val="24"/>
        </w:rPr>
        <w:t>to</w:t>
      </w:r>
      <w:r>
        <w:rPr>
          <w:spacing w:val="-4"/>
          <w:sz w:val="24"/>
        </w:rPr>
        <w:t> </w:t>
      </w:r>
      <w:r>
        <w:rPr>
          <w:sz w:val="24"/>
        </w:rPr>
        <w:t>ensure</w:t>
      </w:r>
      <w:r>
        <w:rPr>
          <w:spacing w:val="-6"/>
          <w:sz w:val="24"/>
        </w:rPr>
        <w:t> </w:t>
      </w:r>
      <w:r>
        <w:rPr>
          <w:sz w:val="24"/>
        </w:rPr>
        <w:t>compliance</w:t>
      </w:r>
      <w:r>
        <w:rPr>
          <w:spacing w:val="-5"/>
          <w:sz w:val="24"/>
        </w:rPr>
        <w:t> </w:t>
      </w:r>
      <w:r>
        <w:rPr>
          <w:sz w:val="24"/>
        </w:rPr>
        <w:t>with</w:t>
      </w:r>
      <w:r>
        <w:rPr>
          <w:spacing w:val="-5"/>
          <w:sz w:val="24"/>
        </w:rPr>
        <w:t> </w:t>
      </w:r>
      <w:r>
        <w:rPr>
          <w:sz w:val="24"/>
        </w:rPr>
        <w:t>the</w:t>
      </w:r>
      <w:r>
        <w:rPr>
          <w:spacing w:val="-5"/>
          <w:sz w:val="24"/>
        </w:rPr>
        <w:t> </w:t>
      </w:r>
      <w:r>
        <w:rPr>
          <w:sz w:val="24"/>
        </w:rPr>
        <w:t>Freedom</w:t>
      </w:r>
      <w:r>
        <w:rPr>
          <w:spacing w:val="-4"/>
          <w:sz w:val="24"/>
        </w:rPr>
        <w:t> </w:t>
      </w:r>
      <w:r>
        <w:rPr>
          <w:sz w:val="24"/>
        </w:rPr>
        <w:t>of</w:t>
      </w:r>
      <w:r>
        <w:rPr>
          <w:spacing w:val="-5"/>
          <w:sz w:val="24"/>
        </w:rPr>
        <w:t> </w:t>
      </w:r>
      <w:r>
        <w:rPr>
          <w:sz w:val="24"/>
        </w:rPr>
        <w:t>Information</w:t>
      </w:r>
      <w:r>
        <w:rPr>
          <w:spacing w:val="-5"/>
          <w:sz w:val="24"/>
        </w:rPr>
        <w:t> </w:t>
      </w:r>
      <w:r>
        <w:rPr>
          <w:sz w:val="24"/>
        </w:rPr>
        <w:t>Act. Please refer to the Freedom of Information Policy.</w:t>
      </w:r>
    </w:p>
    <w:p>
      <w:pPr>
        <w:pStyle w:val="ListParagraph"/>
        <w:numPr>
          <w:ilvl w:val="0"/>
          <w:numId w:val="5"/>
        </w:numPr>
        <w:tabs>
          <w:tab w:pos="880" w:val="left" w:leader="none"/>
        </w:tabs>
        <w:spacing w:line="273" w:lineRule="auto" w:before="6" w:after="0"/>
        <w:ind w:left="880" w:right="403" w:hanging="361"/>
        <w:jc w:val="both"/>
        <w:rPr>
          <w:sz w:val="24"/>
        </w:rPr>
      </w:pPr>
      <w:r>
        <w:rPr>
          <w:sz w:val="24"/>
        </w:rPr>
        <w:t>The ICB will maintain clear procedures and arrangements for handling requests for information</w:t>
      </w:r>
      <w:r>
        <w:rPr>
          <w:spacing w:val="-14"/>
          <w:sz w:val="24"/>
        </w:rPr>
        <w:t> </w:t>
      </w:r>
      <w:r>
        <w:rPr>
          <w:sz w:val="24"/>
        </w:rPr>
        <w:t>from</w:t>
      </w:r>
      <w:r>
        <w:rPr>
          <w:spacing w:val="-13"/>
          <w:sz w:val="24"/>
        </w:rPr>
        <w:t> </w:t>
      </w:r>
      <w:r>
        <w:rPr>
          <w:sz w:val="24"/>
        </w:rPr>
        <w:t>the</w:t>
      </w:r>
      <w:r>
        <w:rPr>
          <w:spacing w:val="-12"/>
          <w:sz w:val="24"/>
        </w:rPr>
        <w:t> </w:t>
      </w:r>
      <w:r>
        <w:rPr>
          <w:sz w:val="24"/>
        </w:rPr>
        <w:t>public.</w:t>
      </w:r>
      <w:r>
        <w:rPr>
          <w:spacing w:val="-12"/>
          <w:sz w:val="24"/>
        </w:rPr>
        <w:t> </w:t>
      </w:r>
      <w:r>
        <w:rPr>
          <w:sz w:val="24"/>
        </w:rPr>
        <w:t>Please</w:t>
      </w:r>
      <w:r>
        <w:rPr>
          <w:spacing w:val="-12"/>
          <w:sz w:val="24"/>
        </w:rPr>
        <w:t> </w:t>
      </w:r>
      <w:r>
        <w:rPr>
          <w:sz w:val="24"/>
        </w:rPr>
        <w:t>refer</w:t>
      </w:r>
      <w:r>
        <w:rPr>
          <w:spacing w:val="-13"/>
          <w:sz w:val="24"/>
        </w:rPr>
        <w:t> </w:t>
      </w:r>
      <w:r>
        <w:rPr>
          <w:sz w:val="24"/>
        </w:rPr>
        <w:t>to</w:t>
      </w:r>
      <w:r>
        <w:rPr>
          <w:spacing w:val="-12"/>
          <w:sz w:val="24"/>
        </w:rPr>
        <w:t> </w:t>
      </w:r>
      <w:r>
        <w:rPr>
          <w:sz w:val="24"/>
        </w:rPr>
        <w:t>the</w:t>
      </w:r>
      <w:r>
        <w:rPr>
          <w:spacing w:val="-14"/>
          <w:sz w:val="24"/>
        </w:rPr>
        <w:t> </w:t>
      </w:r>
      <w:r>
        <w:rPr>
          <w:sz w:val="24"/>
        </w:rPr>
        <w:t>Individual</w:t>
      </w:r>
      <w:r>
        <w:rPr>
          <w:spacing w:val="-13"/>
          <w:sz w:val="24"/>
        </w:rPr>
        <w:t> </w:t>
      </w:r>
      <w:r>
        <w:rPr>
          <w:sz w:val="24"/>
        </w:rPr>
        <w:t>Rights</w:t>
      </w:r>
      <w:r>
        <w:rPr>
          <w:spacing w:val="-14"/>
          <w:sz w:val="24"/>
        </w:rPr>
        <w:t> </w:t>
      </w:r>
      <w:r>
        <w:rPr>
          <w:sz w:val="24"/>
        </w:rPr>
        <w:t>Policy</w:t>
      </w:r>
      <w:r>
        <w:rPr>
          <w:spacing w:val="-13"/>
          <w:sz w:val="24"/>
        </w:rPr>
        <w:t> </w:t>
      </w:r>
      <w:r>
        <w:rPr>
          <w:sz w:val="24"/>
        </w:rPr>
        <w:t>in</w:t>
      </w:r>
      <w:r>
        <w:rPr>
          <w:spacing w:val="-12"/>
          <w:sz w:val="24"/>
        </w:rPr>
        <w:t> </w:t>
      </w:r>
      <w:r>
        <w:rPr>
          <w:sz w:val="24"/>
        </w:rPr>
        <w:t>accordance</w:t>
      </w:r>
      <w:r>
        <w:rPr>
          <w:spacing w:val="-14"/>
          <w:sz w:val="24"/>
        </w:rPr>
        <w:t> </w:t>
      </w:r>
      <w:r>
        <w:rPr>
          <w:sz w:val="24"/>
        </w:rPr>
        <w:t>with the UK General Data Protection Regulation (UK GDPR) and the Data Protection Act (DPA) 2018.</w:t>
      </w:r>
    </w:p>
    <w:p>
      <w:pPr>
        <w:pStyle w:val="ListParagraph"/>
        <w:numPr>
          <w:ilvl w:val="0"/>
          <w:numId w:val="5"/>
        </w:numPr>
        <w:tabs>
          <w:tab w:pos="880" w:val="left" w:leader="none"/>
        </w:tabs>
        <w:spacing w:line="271" w:lineRule="auto" w:before="5" w:after="0"/>
        <w:ind w:left="880" w:right="403" w:hanging="361"/>
        <w:jc w:val="both"/>
        <w:rPr>
          <w:sz w:val="24"/>
        </w:rPr>
      </w:pPr>
      <w:r>
        <w:rPr>
          <w:sz w:val="24"/>
        </w:rPr>
        <w:t>The ICB will maintain fair processing information and ensure that privacy notices are available to staff and member of the public as required.</w:t>
      </w:r>
    </w:p>
    <w:p>
      <w:pPr>
        <w:spacing w:after="0" w:line="271" w:lineRule="auto"/>
        <w:jc w:val="both"/>
        <w:rPr>
          <w:sz w:val="24"/>
        </w:rPr>
        <w:sectPr>
          <w:pgSz w:w="11910" w:h="16840"/>
          <w:pgMar w:header="570" w:footer="1032" w:top="1200" w:bottom="1220" w:left="560" w:right="680"/>
        </w:sectPr>
      </w:pPr>
    </w:p>
    <w:p>
      <w:pPr>
        <w:pStyle w:val="BodyText"/>
        <w:spacing w:before="207"/>
      </w:pPr>
    </w:p>
    <w:p>
      <w:pPr>
        <w:pStyle w:val="ListParagraph"/>
        <w:numPr>
          <w:ilvl w:val="0"/>
          <w:numId w:val="5"/>
        </w:numPr>
        <w:tabs>
          <w:tab w:pos="880" w:val="left" w:leader="none"/>
        </w:tabs>
        <w:spacing w:line="273" w:lineRule="auto" w:before="0" w:after="0"/>
        <w:ind w:left="880" w:right="401" w:hanging="361"/>
        <w:jc w:val="both"/>
        <w:rPr>
          <w:sz w:val="24"/>
        </w:rPr>
      </w:pPr>
      <w:r>
        <w:rPr>
          <w:sz w:val="24"/>
        </w:rPr>
        <w:t>The</w:t>
      </w:r>
      <w:r>
        <w:rPr>
          <w:spacing w:val="-7"/>
          <w:sz w:val="24"/>
        </w:rPr>
        <w:t> </w:t>
      </w:r>
      <w:r>
        <w:rPr>
          <w:sz w:val="24"/>
        </w:rPr>
        <w:t>ICB</w:t>
      </w:r>
      <w:r>
        <w:rPr>
          <w:spacing w:val="-6"/>
          <w:sz w:val="24"/>
        </w:rPr>
        <w:t> </w:t>
      </w:r>
      <w:r>
        <w:rPr>
          <w:sz w:val="24"/>
        </w:rPr>
        <w:t>will</w:t>
      </w:r>
      <w:r>
        <w:rPr>
          <w:spacing w:val="-9"/>
          <w:sz w:val="24"/>
        </w:rPr>
        <w:t> </w:t>
      </w:r>
      <w:r>
        <w:rPr>
          <w:sz w:val="24"/>
        </w:rPr>
        <w:t>maintain</w:t>
      </w:r>
      <w:r>
        <w:rPr>
          <w:spacing w:val="-7"/>
          <w:sz w:val="24"/>
        </w:rPr>
        <w:t> </w:t>
      </w:r>
      <w:r>
        <w:rPr>
          <w:sz w:val="24"/>
        </w:rPr>
        <w:t>policies</w:t>
      </w:r>
      <w:r>
        <w:rPr>
          <w:spacing w:val="-6"/>
          <w:sz w:val="24"/>
        </w:rPr>
        <w:t> </w:t>
      </w:r>
      <w:r>
        <w:rPr>
          <w:sz w:val="24"/>
        </w:rPr>
        <w:t>to</w:t>
      </w:r>
      <w:r>
        <w:rPr>
          <w:spacing w:val="-6"/>
          <w:sz w:val="24"/>
        </w:rPr>
        <w:t> </w:t>
      </w:r>
      <w:r>
        <w:rPr>
          <w:sz w:val="24"/>
        </w:rPr>
        <w:t>ensure</w:t>
      </w:r>
      <w:r>
        <w:rPr>
          <w:spacing w:val="-8"/>
          <w:sz w:val="24"/>
        </w:rPr>
        <w:t> </w:t>
      </w:r>
      <w:r>
        <w:rPr>
          <w:sz w:val="24"/>
        </w:rPr>
        <w:t>compliance</w:t>
      </w:r>
      <w:r>
        <w:rPr>
          <w:spacing w:val="-7"/>
          <w:sz w:val="24"/>
        </w:rPr>
        <w:t> </w:t>
      </w:r>
      <w:r>
        <w:rPr>
          <w:sz w:val="24"/>
        </w:rPr>
        <w:t>with</w:t>
      </w:r>
      <w:r>
        <w:rPr>
          <w:spacing w:val="-7"/>
          <w:sz w:val="24"/>
        </w:rPr>
        <w:t> </w:t>
      </w:r>
      <w:r>
        <w:rPr>
          <w:sz w:val="24"/>
        </w:rPr>
        <w:t>the</w:t>
      </w:r>
      <w:r>
        <w:rPr>
          <w:spacing w:val="-7"/>
          <w:sz w:val="24"/>
        </w:rPr>
        <w:t> </w:t>
      </w:r>
      <w:r>
        <w:rPr>
          <w:sz w:val="24"/>
        </w:rPr>
        <w:t>Records</w:t>
      </w:r>
      <w:r>
        <w:rPr>
          <w:spacing w:val="-8"/>
          <w:sz w:val="24"/>
        </w:rPr>
        <w:t> </w:t>
      </w:r>
      <w:r>
        <w:rPr>
          <w:sz w:val="24"/>
        </w:rPr>
        <w:t>Management</w:t>
      </w:r>
      <w:r>
        <w:rPr>
          <w:spacing w:val="-7"/>
          <w:sz w:val="24"/>
        </w:rPr>
        <w:t> </w:t>
      </w:r>
      <w:r>
        <w:rPr>
          <w:sz w:val="24"/>
        </w:rPr>
        <w:t>Code of</w:t>
      </w:r>
      <w:r>
        <w:rPr>
          <w:spacing w:val="-3"/>
          <w:sz w:val="24"/>
        </w:rPr>
        <w:t> </w:t>
      </w:r>
      <w:r>
        <w:rPr>
          <w:sz w:val="24"/>
        </w:rPr>
        <w:t>Practice</w:t>
      </w:r>
      <w:r>
        <w:rPr>
          <w:spacing w:val="-3"/>
          <w:sz w:val="24"/>
        </w:rPr>
        <w:t> </w:t>
      </w:r>
      <w:r>
        <w:rPr>
          <w:sz w:val="24"/>
        </w:rPr>
        <w:t>for</w:t>
      </w:r>
      <w:r>
        <w:rPr>
          <w:spacing w:val="-3"/>
          <w:sz w:val="24"/>
        </w:rPr>
        <w:t> </w:t>
      </w:r>
      <w:r>
        <w:rPr>
          <w:sz w:val="24"/>
        </w:rPr>
        <w:t>Health</w:t>
      </w:r>
      <w:r>
        <w:rPr>
          <w:spacing w:val="-3"/>
          <w:sz w:val="24"/>
        </w:rPr>
        <w:t> </w:t>
      </w:r>
      <w:r>
        <w:rPr>
          <w:sz w:val="24"/>
        </w:rPr>
        <w:t>and</w:t>
      </w:r>
      <w:r>
        <w:rPr>
          <w:spacing w:val="-3"/>
          <w:sz w:val="24"/>
        </w:rPr>
        <w:t> </w:t>
      </w:r>
      <w:r>
        <w:rPr>
          <w:sz w:val="24"/>
        </w:rPr>
        <w:t>Social</w:t>
      </w:r>
      <w:r>
        <w:rPr>
          <w:spacing w:val="-3"/>
          <w:sz w:val="24"/>
        </w:rPr>
        <w:t> </w:t>
      </w:r>
      <w:r>
        <w:rPr>
          <w:sz w:val="24"/>
        </w:rPr>
        <w:t>Care</w:t>
      </w:r>
      <w:r>
        <w:rPr>
          <w:spacing w:val="-3"/>
          <w:sz w:val="24"/>
        </w:rPr>
        <w:t> </w:t>
      </w:r>
      <w:r>
        <w:rPr>
          <w:sz w:val="24"/>
        </w:rPr>
        <w:t>(2016).</w:t>
      </w:r>
      <w:r>
        <w:rPr>
          <w:spacing w:val="-5"/>
          <w:sz w:val="24"/>
        </w:rPr>
        <w:t> </w:t>
      </w:r>
      <w:r>
        <w:rPr>
          <w:sz w:val="24"/>
        </w:rPr>
        <w:t>Please</w:t>
      </w:r>
      <w:r>
        <w:rPr>
          <w:spacing w:val="-3"/>
          <w:sz w:val="24"/>
        </w:rPr>
        <w:t> </w:t>
      </w:r>
      <w:r>
        <w:rPr>
          <w:sz w:val="24"/>
        </w:rPr>
        <w:t>refer</w:t>
      </w:r>
      <w:r>
        <w:rPr>
          <w:spacing w:val="-3"/>
          <w:sz w:val="24"/>
        </w:rPr>
        <w:t> </w:t>
      </w:r>
      <w:r>
        <w:rPr>
          <w:sz w:val="24"/>
        </w:rPr>
        <w:t>to</w:t>
      </w:r>
      <w:r>
        <w:rPr>
          <w:spacing w:val="-3"/>
          <w:sz w:val="24"/>
        </w:rPr>
        <w:t> </w:t>
      </w:r>
      <w:r>
        <w:rPr>
          <w:sz w:val="24"/>
        </w:rPr>
        <w:t>The</w:t>
      </w:r>
      <w:r>
        <w:rPr>
          <w:spacing w:val="-3"/>
          <w:sz w:val="24"/>
        </w:rPr>
        <w:t> </w:t>
      </w:r>
      <w:r>
        <w:rPr>
          <w:sz w:val="24"/>
        </w:rPr>
        <w:t>Records</w:t>
      </w:r>
      <w:r>
        <w:rPr>
          <w:spacing w:val="-3"/>
          <w:sz w:val="24"/>
        </w:rPr>
        <w:t> </w:t>
      </w:r>
      <w:r>
        <w:rPr>
          <w:sz w:val="24"/>
        </w:rPr>
        <w:t>Management </w:t>
      </w:r>
      <w:r>
        <w:rPr>
          <w:spacing w:val="-2"/>
          <w:sz w:val="24"/>
        </w:rPr>
        <w:t>Policy.</w:t>
      </w:r>
    </w:p>
    <w:p>
      <w:pPr>
        <w:pStyle w:val="ListParagraph"/>
        <w:numPr>
          <w:ilvl w:val="0"/>
          <w:numId w:val="5"/>
        </w:numPr>
        <w:tabs>
          <w:tab w:pos="880" w:val="left" w:leader="none"/>
        </w:tabs>
        <w:spacing w:line="271" w:lineRule="auto" w:before="5" w:after="0"/>
        <w:ind w:left="880" w:right="404" w:hanging="361"/>
        <w:jc w:val="both"/>
        <w:rPr>
          <w:sz w:val="24"/>
        </w:rPr>
      </w:pPr>
      <w:r>
        <w:rPr>
          <w:sz w:val="24"/>
        </w:rPr>
        <w:t>The</w:t>
      </w:r>
      <w:r>
        <w:rPr>
          <w:spacing w:val="-3"/>
          <w:sz w:val="24"/>
        </w:rPr>
        <w:t> </w:t>
      </w:r>
      <w:r>
        <w:rPr>
          <w:sz w:val="24"/>
        </w:rPr>
        <w:t>ICB</w:t>
      </w:r>
      <w:r>
        <w:rPr>
          <w:spacing w:val="-3"/>
          <w:sz w:val="24"/>
        </w:rPr>
        <w:t> </w:t>
      </w:r>
      <w:r>
        <w:rPr>
          <w:sz w:val="24"/>
        </w:rPr>
        <w:t>will</w:t>
      </w:r>
      <w:r>
        <w:rPr>
          <w:spacing w:val="-4"/>
          <w:sz w:val="24"/>
        </w:rPr>
        <w:t> </w:t>
      </w:r>
      <w:r>
        <w:rPr>
          <w:sz w:val="24"/>
        </w:rPr>
        <w:t>maintain</w:t>
      </w:r>
      <w:r>
        <w:rPr>
          <w:spacing w:val="-3"/>
          <w:sz w:val="24"/>
        </w:rPr>
        <w:t> </w:t>
      </w:r>
      <w:r>
        <w:rPr>
          <w:sz w:val="24"/>
        </w:rPr>
        <w:t>policies</w:t>
      </w:r>
      <w:r>
        <w:rPr>
          <w:spacing w:val="-3"/>
          <w:sz w:val="24"/>
        </w:rPr>
        <w:t> </w:t>
      </w:r>
      <w:r>
        <w:rPr>
          <w:sz w:val="24"/>
        </w:rPr>
        <w:t>for</w:t>
      </w:r>
      <w:r>
        <w:rPr>
          <w:spacing w:val="-3"/>
          <w:sz w:val="24"/>
        </w:rPr>
        <w:t> </w:t>
      </w:r>
      <w:r>
        <w:rPr>
          <w:sz w:val="24"/>
        </w:rPr>
        <w:t>the</w:t>
      </w:r>
      <w:r>
        <w:rPr>
          <w:spacing w:val="-5"/>
          <w:sz w:val="24"/>
        </w:rPr>
        <w:t> </w:t>
      </w:r>
      <w:r>
        <w:rPr>
          <w:sz w:val="24"/>
        </w:rPr>
        <w:t>effective</w:t>
      </w:r>
      <w:r>
        <w:rPr>
          <w:spacing w:val="-3"/>
          <w:sz w:val="24"/>
        </w:rPr>
        <w:t> </w:t>
      </w:r>
      <w:r>
        <w:rPr>
          <w:sz w:val="24"/>
        </w:rPr>
        <w:t>and</w:t>
      </w:r>
      <w:r>
        <w:rPr>
          <w:spacing w:val="-3"/>
          <w:sz w:val="24"/>
        </w:rPr>
        <w:t> </w:t>
      </w:r>
      <w:r>
        <w:rPr>
          <w:sz w:val="24"/>
        </w:rPr>
        <w:t>secure</w:t>
      </w:r>
      <w:r>
        <w:rPr>
          <w:spacing w:val="-5"/>
          <w:sz w:val="24"/>
        </w:rPr>
        <w:t> </w:t>
      </w:r>
      <w:r>
        <w:rPr>
          <w:sz w:val="24"/>
        </w:rPr>
        <w:t>management</w:t>
      </w:r>
      <w:r>
        <w:rPr>
          <w:spacing w:val="-3"/>
          <w:sz w:val="24"/>
        </w:rPr>
        <w:t> </w:t>
      </w:r>
      <w:r>
        <w:rPr>
          <w:sz w:val="24"/>
        </w:rPr>
        <w:t>of</w:t>
      </w:r>
      <w:r>
        <w:rPr>
          <w:spacing w:val="-3"/>
          <w:sz w:val="24"/>
        </w:rPr>
        <w:t> </w:t>
      </w:r>
      <w:r>
        <w:rPr>
          <w:sz w:val="24"/>
        </w:rPr>
        <w:t>its</w:t>
      </w:r>
      <w:r>
        <w:rPr>
          <w:spacing w:val="-3"/>
          <w:sz w:val="24"/>
        </w:rPr>
        <w:t> </w:t>
      </w:r>
      <w:r>
        <w:rPr>
          <w:sz w:val="24"/>
        </w:rPr>
        <w:t>information assets and resources.</w:t>
      </w:r>
    </w:p>
    <w:p>
      <w:pPr>
        <w:pStyle w:val="ListParagraph"/>
        <w:numPr>
          <w:ilvl w:val="0"/>
          <w:numId w:val="5"/>
        </w:numPr>
        <w:tabs>
          <w:tab w:pos="880" w:val="left" w:leader="none"/>
        </w:tabs>
        <w:spacing w:line="271" w:lineRule="auto" w:before="7" w:after="0"/>
        <w:ind w:left="880" w:right="403" w:hanging="361"/>
        <w:jc w:val="both"/>
        <w:rPr>
          <w:sz w:val="24"/>
        </w:rPr>
      </w:pPr>
      <w:r>
        <w:rPr>
          <w:sz w:val="24"/>
        </w:rPr>
        <w:t>The ICB will promote effective confidentiality and security practice to its staff through policies, procedures and training.</w:t>
      </w:r>
    </w:p>
    <w:p>
      <w:pPr>
        <w:pStyle w:val="ListParagraph"/>
        <w:numPr>
          <w:ilvl w:val="0"/>
          <w:numId w:val="5"/>
        </w:numPr>
        <w:tabs>
          <w:tab w:pos="880" w:val="left" w:leader="none"/>
        </w:tabs>
        <w:spacing w:line="276" w:lineRule="auto" w:before="6" w:after="0"/>
        <w:ind w:left="880" w:right="396" w:hanging="361"/>
        <w:jc w:val="both"/>
        <w:rPr>
          <w:sz w:val="24"/>
        </w:rPr>
      </w:pPr>
      <w:r>
        <w:rPr>
          <w:sz w:val="24"/>
        </w:rPr>
        <w:t>The ICB will adhere to the NHS Guidance for reporting, managing and investigating Information</w:t>
      </w:r>
      <w:r>
        <w:rPr>
          <w:spacing w:val="-17"/>
          <w:sz w:val="24"/>
        </w:rPr>
        <w:t> </w:t>
      </w:r>
      <w:r>
        <w:rPr>
          <w:sz w:val="24"/>
        </w:rPr>
        <w:t>Governance</w:t>
      </w:r>
      <w:r>
        <w:rPr>
          <w:spacing w:val="-16"/>
          <w:sz w:val="24"/>
        </w:rPr>
        <w:t> </w:t>
      </w:r>
      <w:r>
        <w:rPr>
          <w:sz w:val="24"/>
        </w:rPr>
        <w:t>and</w:t>
      </w:r>
      <w:r>
        <w:rPr>
          <w:spacing w:val="-16"/>
          <w:sz w:val="24"/>
        </w:rPr>
        <w:t> </w:t>
      </w:r>
      <w:r>
        <w:rPr>
          <w:sz w:val="24"/>
        </w:rPr>
        <w:t>Cyber</w:t>
      </w:r>
      <w:r>
        <w:rPr>
          <w:spacing w:val="-17"/>
          <w:sz w:val="24"/>
        </w:rPr>
        <w:t> </w:t>
      </w:r>
      <w:r>
        <w:rPr>
          <w:sz w:val="24"/>
        </w:rPr>
        <w:t>Security</w:t>
      </w:r>
      <w:r>
        <w:rPr>
          <w:spacing w:val="-16"/>
          <w:sz w:val="24"/>
        </w:rPr>
        <w:t> </w:t>
      </w:r>
      <w:r>
        <w:rPr>
          <w:sz w:val="24"/>
        </w:rPr>
        <w:t>Serious</w:t>
      </w:r>
      <w:r>
        <w:rPr>
          <w:spacing w:val="-17"/>
          <w:sz w:val="24"/>
        </w:rPr>
        <w:t> </w:t>
      </w:r>
      <w:r>
        <w:rPr>
          <w:sz w:val="24"/>
        </w:rPr>
        <w:t>Incidents</w:t>
      </w:r>
      <w:r>
        <w:rPr>
          <w:spacing w:val="-16"/>
          <w:sz w:val="24"/>
        </w:rPr>
        <w:t> </w:t>
      </w:r>
      <w:r>
        <w:rPr>
          <w:sz w:val="24"/>
        </w:rPr>
        <w:t>Requiring</w:t>
      </w:r>
      <w:r>
        <w:rPr>
          <w:spacing w:val="-16"/>
          <w:sz w:val="24"/>
        </w:rPr>
        <w:t> </w:t>
      </w:r>
      <w:r>
        <w:rPr>
          <w:sz w:val="24"/>
        </w:rPr>
        <w:t>Investigation</w:t>
      </w:r>
      <w:r>
        <w:rPr>
          <w:spacing w:val="-17"/>
          <w:sz w:val="24"/>
        </w:rPr>
        <w:t> </w:t>
      </w:r>
      <w:r>
        <w:rPr>
          <w:sz w:val="24"/>
        </w:rPr>
        <w:t>(IG SIRI) and as part of this, will review and maintain incident reporting procedures and monitor</w:t>
      </w:r>
      <w:r>
        <w:rPr>
          <w:spacing w:val="-11"/>
          <w:sz w:val="24"/>
        </w:rPr>
        <w:t> </w:t>
      </w:r>
      <w:r>
        <w:rPr>
          <w:sz w:val="24"/>
        </w:rPr>
        <w:t>and</w:t>
      </w:r>
      <w:r>
        <w:rPr>
          <w:spacing w:val="-9"/>
          <w:sz w:val="24"/>
        </w:rPr>
        <w:t> </w:t>
      </w:r>
      <w:r>
        <w:rPr>
          <w:sz w:val="24"/>
        </w:rPr>
        <w:t>investigate</w:t>
      </w:r>
      <w:r>
        <w:rPr>
          <w:spacing w:val="-9"/>
          <w:sz w:val="24"/>
        </w:rPr>
        <w:t> </w:t>
      </w:r>
      <w:r>
        <w:rPr>
          <w:sz w:val="24"/>
        </w:rPr>
        <w:t>all</w:t>
      </w:r>
      <w:r>
        <w:rPr>
          <w:spacing w:val="-11"/>
          <w:sz w:val="24"/>
        </w:rPr>
        <w:t> </w:t>
      </w:r>
      <w:r>
        <w:rPr>
          <w:sz w:val="24"/>
        </w:rPr>
        <w:t>reported</w:t>
      </w:r>
      <w:r>
        <w:rPr>
          <w:spacing w:val="-9"/>
          <w:sz w:val="24"/>
        </w:rPr>
        <w:t> </w:t>
      </w:r>
      <w:r>
        <w:rPr>
          <w:sz w:val="24"/>
        </w:rPr>
        <w:t>instances</w:t>
      </w:r>
      <w:r>
        <w:rPr>
          <w:spacing w:val="-10"/>
          <w:sz w:val="24"/>
        </w:rPr>
        <w:t> </w:t>
      </w:r>
      <w:r>
        <w:rPr>
          <w:sz w:val="24"/>
        </w:rPr>
        <w:t>of</w:t>
      </w:r>
      <w:r>
        <w:rPr>
          <w:spacing w:val="-10"/>
          <w:sz w:val="24"/>
        </w:rPr>
        <w:t> </w:t>
      </w:r>
      <w:r>
        <w:rPr>
          <w:sz w:val="24"/>
        </w:rPr>
        <w:t>actual</w:t>
      </w:r>
      <w:r>
        <w:rPr>
          <w:spacing w:val="-11"/>
          <w:sz w:val="24"/>
        </w:rPr>
        <w:t> </w:t>
      </w:r>
      <w:r>
        <w:rPr>
          <w:sz w:val="24"/>
        </w:rPr>
        <w:t>or</w:t>
      </w:r>
      <w:r>
        <w:rPr>
          <w:spacing w:val="-13"/>
          <w:sz w:val="24"/>
        </w:rPr>
        <w:t> </w:t>
      </w:r>
      <w:r>
        <w:rPr>
          <w:sz w:val="24"/>
        </w:rPr>
        <w:t>potential</w:t>
      </w:r>
      <w:r>
        <w:rPr>
          <w:spacing w:val="-13"/>
          <w:sz w:val="24"/>
        </w:rPr>
        <w:t> </w:t>
      </w:r>
      <w:r>
        <w:rPr>
          <w:sz w:val="24"/>
        </w:rPr>
        <w:t>breaches.</w:t>
      </w:r>
      <w:r>
        <w:rPr>
          <w:spacing w:val="-10"/>
          <w:sz w:val="24"/>
        </w:rPr>
        <w:t> </w:t>
      </w:r>
      <w:r>
        <w:rPr>
          <w:sz w:val="24"/>
        </w:rPr>
        <w:t>Under</w:t>
      </w:r>
      <w:r>
        <w:rPr>
          <w:spacing w:val="-11"/>
          <w:sz w:val="24"/>
        </w:rPr>
        <w:t> </w:t>
      </w:r>
      <w:r>
        <w:rPr>
          <w:sz w:val="24"/>
        </w:rPr>
        <w:t>Data Protection Legislation, where an incident is likely to result in a risk to the rights and freedoms of the Data Subject/individuals the Information Commissioner’s Office (ICO) must be informed no later than 72 hours after the organisation becomes aware of the </w:t>
      </w:r>
      <w:r>
        <w:rPr>
          <w:spacing w:val="-2"/>
          <w:sz w:val="24"/>
        </w:rPr>
        <w:t>incident.</w:t>
      </w:r>
    </w:p>
    <w:p>
      <w:pPr>
        <w:pStyle w:val="Heading2"/>
        <w:numPr>
          <w:ilvl w:val="0"/>
          <w:numId w:val="2"/>
        </w:numPr>
        <w:tabs>
          <w:tab w:pos="880" w:val="left" w:leader="none"/>
        </w:tabs>
        <w:spacing w:line="240" w:lineRule="auto" w:before="235" w:after="0"/>
        <w:ind w:left="880" w:right="0" w:hanging="360"/>
        <w:jc w:val="left"/>
      </w:pPr>
      <w:bookmarkStart w:name="_bookmark11" w:id="12"/>
      <w:bookmarkEnd w:id="12"/>
      <w:r>
        <w:rPr/>
      </w:r>
      <w:r>
        <w:rPr>
          <w:color w:val="1C1F62"/>
        </w:rPr>
        <w:t>Information</w:t>
      </w:r>
      <w:r>
        <w:rPr>
          <w:color w:val="1C1F62"/>
          <w:spacing w:val="-7"/>
        </w:rPr>
        <w:t> </w:t>
      </w:r>
      <w:r>
        <w:rPr>
          <w:color w:val="1C1F62"/>
        </w:rPr>
        <w:t>Quality</w:t>
      </w:r>
      <w:r>
        <w:rPr>
          <w:color w:val="1C1F62"/>
          <w:spacing w:val="-5"/>
        </w:rPr>
        <w:t> </w:t>
      </w:r>
      <w:r>
        <w:rPr>
          <w:color w:val="1C1F62"/>
          <w:spacing w:val="-2"/>
        </w:rPr>
        <w:t>Assurance</w:t>
      </w:r>
    </w:p>
    <w:p>
      <w:pPr>
        <w:pStyle w:val="ListParagraph"/>
        <w:numPr>
          <w:ilvl w:val="0"/>
          <w:numId w:val="5"/>
        </w:numPr>
        <w:tabs>
          <w:tab w:pos="880" w:val="left" w:leader="none"/>
        </w:tabs>
        <w:spacing w:line="271" w:lineRule="auto" w:before="32" w:after="0"/>
        <w:ind w:left="880" w:right="530" w:hanging="361"/>
        <w:jc w:val="left"/>
        <w:rPr>
          <w:sz w:val="24"/>
        </w:rPr>
      </w:pPr>
      <w:r>
        <w:rPr>
          <w:sz w:val="24"/>
        </w:rPr>
        <w:t>The</w:t>
      </w:r>
      <w:r>
        <w:rPr>
          <w:spacing w:val="-2"/>
          <w:sz w:val="24"/>
        </w:rPr>
        <w:t> </w:t>
      </w:r>
      <w:r>
        <w:rPr>
          <w:sz w:val="24"/>
        </w:rPr>
        <w:t>ICB</w:t>
      </w:r>
      <w:r>
        <w:rPr>
          <w:spacing w:val="-2"/>
          <w:sz w:val="24"/>
        </w:rPr>
        <w:t> </w:t>
      </w:r>
      <w:r>
        <w:rPr>
          <w:sz w:val="24"/>
        </w:rPr>
        <w:t>will</w:t>
      </w:r>
      <w:r>
        <w:rPr>
          <w:spacing w:val="-4"/>
          <w:sz w:val="24"/>
        </w:rPr>
        <w:t> </w:t>
      </w:r>
      <w:r>
        <w:rPr>
          <w:sz w:val="24"/>
        </w:rPr>
        <w:t>maintain</w:t>
      </w:r>
      <w:r>
        <w:rPr>
          <w:spacing w:val="-3"/>
          <w:sz w:val="24"/>
        </w:rPr>
        <w:t> </w:t>
      </w:r>
      <w:r>
        <w:rPr>
          <w:sz w:val="24"/>
        </w:rPr>
        <w:t>policies</w:t>
      </w:r>
      <w:r>
        <w:rPr>
          <w:spacing w:val="-3"/>
          <w:sz w:val="24"/>
        </w:rPr>
        <w:t> </w:t>
      </w:r>
      <w:r>
        <w:rPr>
          <w:sz w:val="24"/>
        </w:rPr>
        <w:t>and</w:t>
      </w:r>
      <w:r>
        <w:rPr>
          <w:spacing w:val="-5"/>
          <w:sz w:val="24"/>
        </w:rPr>
        <w:t> </w:t>
      </w:r>
      <w:r>
        <w:rPr>
          <w:sz w:val="24"/>
        </w:rPr>
        <w:t>procedures</w:t>
      </w:r>
      <w:r>
        <w:rPr>
          <w:spacing w:val="-6"/>
          <w:sz w:val="24"/>
        </w:rPr>
        <w:t> </w:t>
      </w:r>
      <w:r>
        <w:rPr>
          <w:sz w:val="24"/>
        </w:rPr>
        <w:t>for</w:t>
      </w:r>
      <w:r>
        <w:rPr>
          <w:spacing w:val="-3"/>
          <w:sz w:val="24"/>
        </w:rPr>
        <w:t> </w:t>
      </w:r>
      <w:r>
        <w:rPr>
          <w:sz w:val="24"/>
        </w:rPr>
        <w:t>information</w:t>
      </w:r>
      <w:r>
        <w:rPr>
          <w:spacing w:val="-5"/>
          <w:sz w:val="24"/>
        </w:rPr>
        <w:t> </w:t>
      </w:r>
      <w:r>
        <w:rPr>
          <w:sz w:val="24"/>
        </w:rPr>
        <w:t>quality</w:t>
      </w:r>
      <w:r>
        <w:rPr>
          <w:spacing w:val="-5"/>
          <w:sz w:val="24"/>
        </w:rPr>
        <w:t> </w:t>
      </w:r>
      <w:r>
        <w:rPr>
          <w:sz w:val="24"/>
        </w:rPr>
        <w:t>assurance</w:t>
      </w:r>
      <w:r>
        <w:rPr>
          <w:spacing w:val="-3"/>
          <w:sz w:val="24"/>
        </w:rPr>
        <w:t> </w:t>
      </w:r>
      <w:r>
        <w:rPr>
          <w:sz w:val="24"/>
        </w:rPr>
        <w:t>and</w:t>
      </w:r>
      <w:r>
        <w:rPr>
          <w:spacing w:val="-3"/>
          <w:sz w:val="24"/>
        </w:rPr>
        <w:t> </w:t>
      </w:r>
      <w:r>
        <w:rPr>
          <w:sz w:val="24"/>
        </w:rPr>
        <w:t>the effective management of records.</w:t>
      </w:r>
    </w:p>
    <w:p>
      <w:pPr>
        <w:pStyle w:val="ListParagraph"/>
        <w:numPr>
          <w:ilvl w:val="0"/>
          <w:numId w:val="5"/>
        </w:numPr>
        <w:tabs>
          <w:tab w:pos="880" w:val="left" w:leader="none"/>
        </w:tabs>
        <w:spacing w:line="271" w:lineRule="auto" w:before="6" w:after="0"/>
        <w:ind w:left="880" w:right="506" w:hanging="361"/>
        <w:jc w:val="left"/>
        <w:rPr>
          <w:sz w:val="24"/>
        </w:rPr>
      </w:pPr>
      <w:r>
        <w:rPr>
          <w:sz w:val="24"/>
        </w:rPr>
        <w:t>The</w:t>
      </w:r>
      <w:r>
        <w:rPr>
          <w:spacing w:val="-3"/>
          <w:sz w:val="24"/>
        </w:rPr>
        <w:t> </w:t>
      </w:r>
      <w:r>
        <w:rPr>
          <w:sz w:val="24"/>
        </w:rPr>
        <w:t>ICB</w:t>
      </w:r>
      <w:r>
        <w:rPr>
          <w:spacing w:val="-3"/>
          <w:sz w:val="24"/>
        </w:rPr>
        <w:t> </w:t>
      </w:r>
      <w:r>
        <w:rPr>
          <w:sz w:val="24"/>
        </w:rPr>
        <w:t>will</w:t>
      </w:r>
      <w:r>
        <w:rPr>
          <w:spacing w:val="-5"/>
          <w:sz w:val="24"/>
        </w:rPr>
        <w:t> </w:t>
      </w:r>
      <w:r>
        <w:rPr>
          <w:sz w:val="24"/>
        </w:rPr>
        <w:t>undertake</w:t>
      </w:r>
      <w:r>
        <w:rPr>
          <w:spacing w:val="-6"/>
          <w:sz w:val="24"/>
        </w:rPr>
        <w:t> </w:t>
      </w:r>
      <w:r>
        <w:rPr>
          <w:sz w:val="24"/>
        </w:rPr>
        <w:t>or</w:t>
      </w:r>
      <w:r>
        <w:rPr>
          <w:spacing w:val="-4"/>
          <w:sz w:val="24"/>
        </w:rPr>
        <w:t> </w:t>
      </w:r>
      <w:r>
        <w:rPr>
          <w:sz w:val="24"/>
        </w:rPr>
        <w:t>commission</w:t>
      </w:r>
      <w:r>
        <w:rPr>
          <w:spacing w:val="-4"/>
          <w:sz w:val="24"/>
        </w:rPr>
        <w:t> </w:t>
      </w:r>
      <w:r>
        <w:rPr>
          <w:sz w:val="24"/>
        </w:rPr>
        <w:t>annual</w:t>
      </w:r>
      <w:r>
        <w:rPr>
          <w:spacing w:val="-4"/>
          <w:sz w:val="24"/>
        </w:rPr>
        <w:t> </w:t>
      </w:r>
      <w:r>
        <w:rPr>
          <w:sz w:val="24"/>
        </w:rPr>
        <w:t>assessments</w:t>
      </w:r>
      <w:r>
        <w:rPr>
          <w:spacing w:val="-4"/>
          <w:sz w:val="24"/>
        </w:rPr>
        <w:t> </w:t>
      </w:r>
      <w:r>
        <w:rPr>
          <w:sz w:val="24"/>
        </w:rPr>
        <w:t>and</w:t>
      </w:r>
      <w:r>
        <w:rPr>
          <w:spacing w:val="-6"/>
          <w:sz w:val="24"/>
        </w:rPr>
        <w:t> </w:t>
      </w:r>
      <w:r>
        <w:rPr>
          <w:sz w:val="24"/>
        </w:rPr>
        <w:t>audits</w:t>
      </w:r>
      <w:r>
        <w:rPr>
          <w:spacing w:val="-4"/>
          <w:sz w:val="24"/>
        </w:rPr>
        <w:t> </w:t>
      </w:r>
      <w:r>
        <w:rPr>
          <w:sz w:val="24"/>
        </w:rPr>
        <w:t>of</w:t>
      </w:r>
      <w:r>
        <w:rPr>
          <w:spacing w:val="-4"/>
          <w:sz w:val="24"/>
        </w:rPr>
        <w:t> </w:t>
      </w:r>
      <w:r>
        <w:rPr>
          <w:sz w:val="24"/>
        </w:rPr>
        <w:t>its</w:t>
      </w:r>
      <w:r>
        <w:rPr>
          <w:spacing w:val="-4"/>
          <w:sz w:val="24"/>
        </w:rPr>
        <w:t> </w:t>
      </w:r>
      <w:r>
        <w:rPr>
          <w:sz w:val="24"/>
        </w:rPr>
        <w:t>information quality and records management arrangements.</w:t>
      </w:r>
    </w:p>
    <w:p>
      <w:pPr>
        <w:pStyle w:val="ListParagraph"/>
        <w:numPr>
          <w:ilvl w:val="0"/>
          <w:numId w:val="5"/>
        </w:numPr>
        <w:tabs>
          <w:tab w:pos="880" w:val="left" w:leader="none"/>
        </w:tabs>
        <w:spacing w:line="271" w:lineRule="auto" w:before="9" w:after="0"/>
        <w:ind w:left="880" w:right="1267" w:hanging="361"/>
        <w:jc w:val="left"/>
        <w:rPr>
          <w:sz w:val="24"/>
        </w:rPr>
      </w:pPr>
      <w:r>
        <w:rPr>
          <w:sz w:val="24"/>
        </w:rPr>
        <w:t>Managers</w:t>
      </w:r>
      <w:r>
        <w:rPr>
          <w:spacing w:val="-3"/>
          <w:sz w:val="24"/>
        </w:rPr>
        <w:t> </w:t>
      </w:r>
      <w:r>
        <w:rPr>
          <w:sz w:val="24"/>
        </w:rPr>
        <w:t>are</w:t>
      </w:r>
      <w:r>
        <w:rPr>
          <w:spacing w:val="-5"/>
          <w:sz w:val="24"/>
        </w:rPr>
        <w:t> </w:t>
      </w:r>
      <w:r>
        <w:rPr>
          <w:sz w:val="24"/>
        </w:rPr>
        <w:t>expected</w:t>
      </w:r>
      <w:r>
        <w:rPr>
          <w:spacing w:val="-3"/>
          <w:sz w:val="24"/>
        </w:rPr>
        <w:t> </w:t>
      </w:r>
      <w:r>
        <w:rPr>
          <w:sz w:val="24"/>
        </w:rPr>
        <w:t>to</w:t>
      </w:r>
      <w:r>
        <w:rPr>
          <w:spacing w:val="-5"/>
          <w:sz w:val="24"/>
        </w:rPr>
        <w:t> </w:t>
      </w:r>
      <w:r>
        <w:rPr>
          <w:sz w:val="24"/>
        </w:rPr>
        <w:t>take</w:t>
      </w:r>
      <w:r>
        <w:rPr>
          <w:spacing w:val="-5"/>
          <w:sz w:val="24"/>
        </w:rPr>
        <w:t> </w:t>
      </w:r>
      <w:r>
        <w:rPr>
          <w:sz w:val="24"/>
        </w:rPr>
        <w:t>ownership</w:t>
      </w:r>
      <w:r>
        <w:rPr>
          <w:spacing w:val="-3"/>
          <w:sz w:val="24"/>
        </w:rPr>
        <w:t> </w:t>
      </w:r>
      <w:r>
        <w:rPr>
          <w:sz w:val="24"/>
        </w:rPr>
        <w:t>of,</w:t>
      </w:r>
      <w:r>
        <w:rPr>
          <w:spacing w:val="-5"/>
          <w:sz w:val="24"/>
        </w:rPr>
        <w:t> </w:t>
      </w:r>
      <w:r>
        <w:rPr>
          <w:sz w:val="24"/>
        </w:rPr>
        <w:t>and</w:t>
      </w:r>
      <w:r>
        <w:rPr>
          <w:spacing w:val="-5"/>
          <w:sz w:val="24"/>
        </w:rPr>
        <w:t> </w:t>
      </w:r>
      <w:r>
        <w:rPr>
          <w:sz w:val="24"/>
        </w:rPr>
        <w:t>seek</w:t>
      </w:r>
      <w:r>
        <w:rPr>
          <w:spacing w:val="-6"/>
          <w:sz w:val="24"/>
        </w:rPr>
        <w:t> </w:t>
      </w:r>
      <w:r>
        <w:rPr>
          <w:sz w:val="24"/>
        </w:rPr>
        <w:t>to</w:t>
      </w:r>
      <w:r>
        <w:rPr>
          <w:spacing w:val="-3"/>
          <w:sz w:val="24"/>
        </w:rPr>
        <w:t> </w:t>
      </w:r>
      <w:r>
        <w:rPr>
          <w:sz w:val="24"/>
        </w:rPr>
        <w:t>improve,</w:t>
      </w:r>
      <w:r>
        <w:rPr>
          <w:spacing w:val="-3"/>
          <w:sz w:val="24"/>
        </w:rPr>
        <w:t> </w:t>
      </w:r>
      <w:r>
        <w:rPr>
          <w:sz w:val="24"/>
        </w:rPr>
        <w:t>the</w:t>
      </w:r>
      <w:r>
        <w:rPr>
          <w:spacing w:val="-3"/>
          <w:sz w:val="24"/>
        </w:rPr>
        <w:t> </w:t>
      </w:r>
      <w:r>
        <w:rPr>
          <w:sz w:val="24"/>
        </w:rPr>
        <w:t>quality</w:t>
      </w:r>
      <w:r>
        <w:rPr>
          <w:spacing w:val="-3"/>
          <w:sz w:val="24"/>
        </w:rPr>
        <w:t> </w:t>
      </w:r>
      <w:r>
        <w:rPr>
          <w:sz w:val="24"/>
        </w:rPr>
        <w:t>of information within their services.</w:t>
      </w:r>
    </w:p>
    <w:p>
      <w:pPr>
        <w:pStyle w:val="ListParagraph"/>
        <w:numPr>
          <w:ilvl w:val="0"/>
          <w:numId w:val="5"/>
        </w:numPr>
        <w:tabs>
          <w:tab w:pos="880" w:val="left" w:leader="none"/>
        </w:tabs>
        <w:spacing w:line="240" w:lineRule="auto" w:before="6" w:after="0"/>
        <w:ind w:left="880" w:right="0" w:hanging="360"/>
        <w:jc w:val="left"/>
        <w:rPr>
          <w:sz w:val="24"/>
        </w:rPr>
      </w:pPr>
      <w:r>
        <w:rPr>
          <w:sz w:val="24"/>
        </w:rPr>
        <w:t>Wherever</w:t>
      </w:r>
      <w:r>
        <w:rPr>
          <w:spacing w:val="-6"/>
          <w:sz w:val="24"/>
        </w:rPr>
        <w:t> </w:t>
      </w:r>
      <w:r>
        <w:rPr>
          <w:sz w:val="24"/>
        </w:rPr>
        <w:t>possible,</w:t>
      </w:r>
      <w:r>
        <w:rPr>
          <w:spacing w:val="-3"/>
          <w:sz w:val="24"/>
        </w:rPr>
        <w:t> </w:t>
      </w:r>
      <w:r>
        <w:rPr>
          <w:sz w:val="24"/>
        </w:rPr>
        <w:t>information</w:t>
      </w:r>
      <w:r>
        <w:rPr>
          <w:spacing w:val="-5"/>
          <w:sz w:val="24"/>
        </w:rPr>
        <w:t> </w:t>
      </w:r>
      <w:r>
        <w:rPr>
          <w:sz w:val="24"/>
        </w:rPr>
        <w:t>quality</w:t>
      </w:r>
      <w:r>
        <w:rPr>
          <w:spacing w:val="-3"/>
          <w:sz w:val="24"/>
        </w:rPr>
        <w:t> </w:t>
      </w:r>
      <w:r>
        <w:rPr>
          <w:sz w:val="24"/>
        </w:rPr>
        <w:t>should</w:t>
      </w:r>
      <w:r>
        <w:rPr>
          <w:spacing w:val="-3"/>
          <w:sz w:val="24"/>
        </w:rPr>
        <w:t> </w:t>
      </w:r>
      <w:r>
        <w:rPr>
          <w:sz w:val="24"/>
        </w:rPr>
        <w:t>be</w:t>
      </w:r>
      <w:r>
        <w:rPr>
          <w:spacing w:val="-6"/>
          <w:sz w:val="24"/>
        </w:rPr>
        <w:t> </w:t>
      </w:r>
      <w:r>
        <w:rPr>
          <w:sz w:val="24"/>
        </w:rPr>
        <w:t>assured</w:t>
      </w:r>
      <w:r>
        <w:rPr>
          <w:spacing w:val="-3"/>
          <w:sz w:val="24"/>
        </w:rPr>
        <w:t> </w:t>
      </w:r>
      <w:r>
        <w:rPr>
          <w:sz w:val="24"/>
        </w:rPr>
        <w:t>at</w:t>
      </w:r>
      <w:r>
        <w:rPr>
          <w:spacing w:val="-3"/>
          <w:sz w:val="24"/>
        </w:rPr>
        <w:t> </w:t>
      </w:r>
      <w:r>
        <w:rPr>
          <w:sz w:val="24"/>
        </w:rPr>
        <w:t>the</w:t>
      </w:r>
      <w:r>
        <w:rPr>
          <w:spacing w:val="-3"/>
          <w:sz w:val="24"/>
        </w:rPr>
        <w:t> </w:t>
      </w:r>
      <w:r>
        <w:rPr>
          <w:sz w:val="24"/>
        </w:rPr>
        <w:t>point</w:t>
      </w:r>
      <w:r>
        <w:rPr>
          <w:spacing w:val="-3"/>
          <w:sz w:val="24"/>
        </w:rPr>
        <w:t> </w:t>
      </w:r>
      <w:r>
        <w:rPr>
          <w:sz w:val="24"/>
        </w:rPr>
        <w:t>of</w:t>
      </w:r>
      <w:r>
        <w:rPr>
          <w:spacing w:val="-5"/>
          <w:sz w:val="24"/>
        </w:rPr>
        <w:t> </w:t>
      </w:r>
      <w:r>
        <w:rPr>
          <w:spacing w:val="-2"/>
          <w:sz w:val="24"/>
        </w:rPr>
        <w:t>collection.</w:t>
      </w:r>
    </w:p>
    <w:p>
      <w:pPr>
        <w:pStyle w:val="ListParagraph"/>
        <w:numPr>
          <w:ilvl w:val="0"/>
          <w:numId w:val="5"/>
        </w:numPr>
        <w:tabs>
          <w:tab w:pos="880" w:val="left" w:leader="none"/>
        </w:tabs>
        <w:spacing w:line="271" w:lineRule="auto" w:before="40" w:after="0"/>
        <w:ind w:left="880" w:right="1173" w:hanging="361"/>
        <w:jc w:val="left"/>
        <w:rPr>
          <w:sz w:val="24"/>
        </w:rPr>
      </w:pPr>
      <w:r>
        <w:rPr>
          <w:sz w:val="24"/>
        </w:rPr>
        <w:t>Data</w:t>
      </w:r>
      <w:r>
        <w:rPr>
          <w:spacing w:val="-3"/>
          <w:sz w:val="24"/>
        </w:rPr>
        <w:t> </w:t>
      </w:r>
      <w:r>
        <w:rPr>
          <w:sz w:val="24"/>
        </w:rPr>
        <w:t>standards</w:t>
      </w:r>
      <w:r>
        <w:rPr>
          <w:spacing w:val="-3"/>
          <w:sz w:val="24"/>
        </w:rPr>
        <w:t> </w:t>
      </w:r>
      <w:r>
        <w:rPr>
          <w:sz w:val="24"/>
        </w:rPr>
        <w:t>will</w:t>
      </w:r>
      <w:r>
        <w:rPr>
          <w:spacing w:val="-4"/>
          <w:sz w:val="24"/>
        </w:rPr>
        <w:t> </w:t>
      </w:r>
      <w:r>
        <w:rPr>
          <w:sz w:val="24"/>
        </w:rPr>
        <w:t>be</w:t>
      </w:r>
      <w:r>
        <w:rPr>
          <w:spacing w:val="-5"/>
          <w:sz w:val="24"/>
        </w:rPr>
        <w:t> </w:t>
      </w:r>
      <w:r>
        <w:rPr>
          <w:sz w:val="24"/>
        </w:rPr>
        <w:t>set</w:t>
      </w:r>
      <w:r>
        <w:rPr>
          <w:spacing w:val="-3"/>
          <w:sz w:val="24"/>
        </w:rPr>
        <w:t> </w:t>
      </w:r>
      <w:r>
        <w:rPr>
          <w:sz w:val="24"/>
        </w:rPr>
        <w:t>through</w:t>
      </w:r>
      <w:r>
        <w:rPr>
          <w:spacing w:val="-3"/>
          <w:sz w:val="24"/>
        </w:rPr>
        <w:t> </w:t>
      </w:r>
      <w:r>
        <w:rPr>
          <w:sz w:val="24"/>
        </w:rPr>
        <w:t>clear</w:t>
      </w:r>
      <w:r>
        <w:rPr>
          <w:spacing w:val="-6"/>
          <w:sz w:val="24"/>
        </w:rPr>
        <w:t> </w:t>
      </w:r>
      <w:r>
        <w:rPr>
          <w:sz w:val="24"/>
        </w:rPr>
        <w:t>and</w:t>
      </w:r>
      <w:r>
        <w:rPr>
          <w:spacing w:val="-5"/>
          <w:sz w:val="24"/>
        </w:rPr>
        <w:t> </w:t>
      </w:r>
      <w:r>
        <w:rPr>
          <w:sz w:val="24"/>
        </w:rPr>
        <w:t>consistent</w:t>
      </w:r>
      <w:r>
        <w:rPr>
          <w:spacing w:val="-3"/>
          <w:sz w:val="24"/>
        </w:rPr>
        <w:t> </w:t>
      </w:r>
      <w:r>
        <w:rPr>
          <w:sz w:val="24"/>
        </w:rPr>
        <w:t>definition</w:t>
      </w:r>
      <w:r>
        <w:rPr>
          <w:spacing w:val="-3"/>
          <w:sz w:val="24"/>
        </w:rPr>
        <w:t> </w:t>
      </w:r>
      <w:r>
        <w:rPr>
          <w:sz w:val="24"/>
        </w:rPr>
        <w:t>of</w:t>
      </w:r>
      <w:r>
        <w:rPr>
          <w:spacing w:val="-5"/>
          <w:sz w:val="24"/>
        </w:rPr>
        <w:t> </w:t>
      </w:r>
      <w:r>
        <w:rPr>
          <w:sz w:val="24"/>
        </w:rPr>
        <w:t>data</w:t>
      </w:r>
      <w:r>
        <w:rPr>
          <w:spacing w:val="-2"/>
          <w:sz w:val="24"/>
        </w:rPr>
        <w:t> </w:t>
      </w:r>
      <w:r>
        <w:rPr>
          <w:sz w:val="24"/>
        </w:rPr>
        <w:t>items,</w:t>
      </w:r>
      <w:r>
        <w:rPr>
          <w:spacing w:val="-5"/>
          <w:sz w:val="24"/>
        </w:rPr>
        <w:t> </w:t>
      </w:r>
      <w:r>
        <w:rPr>
          <w:sz w:val="24"/>
        </w:rPr>
        <w:t>in accordance with national standards.</w:t>
      </w:r>
    </w:p>
    <w:p>
      <w:pPr>
        <w:pStyle w:val="Heading2"/>
        <w:numPr>
          <w:ilvl w:val="0"/>
          <w:numId w:val="2"/>
        </w:numPr>
        <w:tabs>
          <w:tab w:pos="880" w:val="left" w:leader="none"/>
        </w:tabs>
        <w:spacing w:line="261" w:lineRule="auto" w:before="244" w:after="0"/>
        <w:ind w:left="520" w:right="1898" w:firstLine="0"/>
        <w:jc w:val="left"/>
      </w:pPr>
      <w:bookmarkStart w:name="_bookmark12" w:id="13"/>
      <w:bookmarkEnd w:id="13"/>
      <w:r>
        <w:rPr/>
      </w:r>
      <w:r>
        <w:rPr>
          <w:color w:val="1C1F62"/>
        </w:rPr>
        <w:t>Commissioning</w:t>
      </w:r>
      <w:r>
        <w:rPr>
          <w:color w:val="1C1F62"/>
          <w:spacing w:val="-6"/>
        </w:rPr>
        <w:t> </w:t>
      </w:r>
      <w:r>
        <w:rPr>
          <w:color w:val="1C1F62"/>
        </w:rPr>
        <w:t>of</w:t>
      </w:r>
      <w:r>
        <w:rPr>
          <w:color w:val="1C1F62"/>
          <w:spacing w:val="-3"/>
        </w:rPr>
        <w:t> </w:t>
      </w:r>
      <w:r>
        <w:rPr>
          <w:color w:val="1C1F62"/>
        </w:rPr>
        <w:t>new</w:t>
      </w:r>
      <w:r>
        <w:rPr>
          <w:color w:val="1C1F62"/>
          <w:spacing w:val="-7"/>
        </w:rPr>
        <w:t> </w:t>
      </w:r>
      <w:r>
        <w:rPr>
          <w:color w:val="1C1F62"/>
        </w:rPr>
        <w:t>services</w:t>
      </w:r>
      <w:r>
        <w:rPr>
          <w:color w:val="1C1F62"/>
          <w:spacing w:val="-4"/>
        </w:rPr>
        <w:t> </w:t>
      </w:r>
      <w:r>
        <w:rPr>
          <w:color w:val="1C1F62"/>
        </w:rPr>
        <w:t>and</w:t>
      </w:r>
      <w:r>
        <w:rPr>
          <w:color w:val="1C1F62"/>
          <w:spacing w:val="-3"/>
        </w:rPr>
        <w:t> </w:t>
      </w:r>
      <w:r>
        <w:rPr>
          <w:color w:val="1C1F62"/>
        </w:rPr>
        <w:t>the</w:t>
      </w:r>
      <w:r>
        <w:rPr>
          <w:color w:val="1C1F62"/>
          <w:spacing w:val="-6"/>
        </w:rPr>
        <w:t> </w:t>
      </w:r>
      <w:r>
        <w:rPr>
          <w:color w:val="1C1F62"/>
        </w:rPr>
        <w:t>use</w:t>
      </w:r>
      <w:r>
        <w:rPr>
          <w:color w:val="1C1F62"/>
          <w:spacing w:val="-6"/>
        </w:rPr>
        <w:t> </w:t>
      </w:r>
      <w:r>
        <w:rPr>
          <w:color w:val="1C1F62"/>
        </w:rPr>
        <w:t>of</w:t>
      </w:r>
      <w:r>
        <w:rPr>
          <w:color w:val="1C1F62"/>
          <w:spacing w:val="-5"/>
        </w:rPr>
        <w:t> </w:t>
      </w:r>
      <w:r>
        <w:rPr>
          <w:color w:val="1C1F62"/>
        </w:rPr>
        <w:t>data protection impact assessments</w:t>
      </w:r>
    </w:p>
    <w:p>
      <w:pPr>
        <w:pStyle w:val="ListParagraph"/>
        <w:numPr>
          <w:ilvl w:val="0"/>
          <w:numId w:val="5"/>
        </w:numPr>
        <w:tabs>
          <w:tab w:pos="880" w:val="left" w:leader="none"/>
        </w:tabs>
        <w:spacing w:line="276" w:lineRule="auto" w:before="0" w:after="0"/>
        <w:ind w:left="880" w:right="627" w:hanging="361"/>
        <w:jc w:val="left"/>
        <w:rPr>
          <w:sz w:val="24"/>
        </w:rPr>
      </w:pPr>
      <w:r>
        <w:rPr>
          <w:sz w:val="24"/>
        </w:rPr>
        <w:t>The Data Protection Officer should be consulted during the design phase of any new service, process or information asset and contribute to the statutory Data Protection Impact Assessment (DPIA) process when new processing of personal data or special categories of personal data is being considered.</w:t>
      </w:r>
      <w:r>
        <w:rPr>
          <w:spacing w:val="80"/>
          <w:sz w:val="24"/>
        </w:rPr>
        <w:t> </w:t>
      </w:r>
      <w:r>
        <w:rPr>
          <w:sz w:val="24"/>
        </w:rPr>
        <w:t>Responsibilities and procedures for the</w:t>
      </w:r>
      <w:r>
        <w:rPr>
          <w:spacing w:val="-5"/>
          <w:sz w:val="24"/>
        </w:rPr>
        <w:t> </w:t>
      </w:r>
      <w:r>
        <w:rPr>
          <w:sz w:val="24"/>
        </w:rPr>
        <w:t>management</w:t>
      </w:r>
      <w:r>
        <w:rPr>
          <w:spacing w:val="-5"/>
          <w:sz w:val="24"/>
        </w:rPr>
        <w:t> </w:t>
      </w:r>
      <w:r>
        <w:rPr>
          <w:sz w:val="24"/>
        </w:rPr>
        <w:t>and</w:t>
      </w:r>
      <w:r>
        <w:rPr>
          <w:spacing w:val="-5"/>
          <w:sz w:val="24"/>
        </w:rPr>
        <w:t> </w:t>
      </w:r>
      <w:r>
        <w:rPr>
          <w:sz w:val="24"/>
        </w:rPr>
        <w:t>operation</w:t>
      </w:r>
      <w:r>
        <w:rPr>
          <w:spacing w:val="-5"/>
          <w:sz w:val="24"/>
        </w:rPr>
        <w:t> </w:t>
      </w:r>
      <w:r>
        <w:rPr>
          <w:sz w:val="24"/>
        </w:rPr>
        <w:t>of</w:t>
      </w:r>
      <w:r>
        <w:rPr>
          <w:spacing w:val="-3"/>
          <w:sz w:val="24"/>
        </w:rPr>
        <w:t> </w:t>
      </w:r>
      <w:r>
        <w:rPr>
          <w:sz w:val="24"/>
        </w:rPr>
        <w:t>all</w:t>
      </w:r>
      <w:r>
        <w:rPr>
          <w:spacing w:val="-4"/>
          <w:sz w:val="24"/>
        </w:rPr>
        <w:t> </w:t>
      </w:r>
      <w:r>
        <w:rPr>
          <w:sz w:val="24"/>
        </w:rPr>
        <w:t>information</w:t>
      </w:r>
      <w:r>
        <w:rPr>
          <w:spacing w:val="-3"/>
          <w:sz w:val="24"/>
        </w:rPr>
        <w:t> </w:t>
      </w:r>
      <w:r>
        <w:rPr>
          <w:sz w:val="24"/>
        </w:rPr>
        <w:t>assets</w:t>
      </w:r>
      <w:r>
        <w:rPr>
          <w:spacing w:val="-3"/>
          <w:sz w:val="24"/>
        </w:rPr>
        <w:t> </w:t>
      </w:r>
      <w:r>
        <w:rPr>
          <w:sz w:val="24"/>
        </w:rPr>
        <w:t>should</w:t>
      </w:r>
      <w:r>
        <w:rPr>
          <w:spacing w:val="-5"/>
          <w:sz w:val="24"/>
        </w:rPr>
        <w:t> </w:t>
      </w:r>
      <w:r>
        <w:rPr>
          <w:sz w:val="24"/>
        </w:rPr>
        <w:t>be</w:t>
      </w:r>
      <w:r>
        <w:rPr>
          <w:spacing w:val="-5"/>
          <w:sz w:val="24"/>
        </w:rPr>
        <w:t> </w:t>
      </w:r>
      <w:r>
        <w:rPr>
          <w:sz w:val="24"/>
        </w:rPr>
        <w:t>defined</w:t>
      </w:r>
      <w:r>
        <w:rPr>
          <w:spacing w:val="-3"/>
          <w:sz w:val="24"/>
        </w:rPr>
        <w:t> </w:t>
      </w:r>
      <w:r>
        <w:rPr>
          <w:sz w:val="24"/>
        </w:rPr>
        <w:t>and</w:t>
      </w:r>
      <w:r>
        <w:rPr>
          <w:spacing w:val="-3"/>
          <w:sz w:val="24"/>
        </w:rPr>
        <w:t> </w:t>
      </w:r>
      <w:r>
        <w:rPr>
          <w:sz w:val="24"/>
        </w:rPr>
        <w:t>agreed by the ICB SIRO and the Information Asset Owner’s.</w:t>
      </w:r>
    </w:p>
    <w:p>
      <w:pPr>
        <w:pStyle w:val="ListParagraph"/>
        <w:numPr>
          <w:ilvl w:val="0"/>
          <w:numId w:val="5"/>
        </w:numPr>
        <w:tabs>
          <w:tab w:pos="880" w:val="left" w:leader="none"/>
        </w:tabs>
        <w:spacing w:line="276" w:lineRule="auto" w:before="0" w:after="0"/>
        <w:ind w:left="880" w:right="553" w:hanging="361"/>
        <w:jc w:val="left"/>
        <w:rPr>
          <w:sz w:val="24"/>
        </w:rPr>
      </w:pPr>
      <w:r>
        <w:rPr>
          <w:sz w:val="24"/>
        </w:rPr>
        <w:t>All staff members who may be responsible for introducing changes to services, processes or information assets must be effectively informed about the requirement to complete</w:t>
      </w:r>
      <w:r>
        <w:rPr>
          <w:spacing w:val="-5"/>
          <w:sz w:val="24"/>
        </w:rPr>
        <w:t> </w:t>
      </w:r>
      <w:r>
        <w:rPr>
          <w:sz w:val="24"/>
        </w:rPr>
        <w:t>a</w:t>
      </w:r>
      <w:r>
        <w:rPr>
          <w:spacing w:val="-4"/>
          <w:sz w:val="24"/>
        </w:rPr>
        <w:t> </w:t>
      </w:r>
      <w:r>
        <w:rPr>
          <w:sz w:val="24"/>
        </w:rPr>
        <w:t>statutory</w:t>
      </w:r>
      <w:r>
        <w:rPr>
          <w:spacing w:val="-4"/>
          <w:sz w:val="24"/>
        </w:rPr>
        <w:t> </w:t>
      </w:r>
      <w:r>
        <w:rPr>
          <w:sz w:val="24"/>
        </w:rPr>
        <w:t>DPIA</w:t>
      </w:r>
      <w:r>
        <w:rPr>
          <w:spacing w:val="-3"/>
          <w:sz w:val="24"/>
        </w:rPr>
        <w:t> </w:t>
      </w:r>
      <w:r>
        <w:rPr>
          <w:sz w:val="24"/>
        </w:rPr>
        <w:t>and</w:t>
      </w:r>
      <w:r>
        <w:rPr>
          <w:spacing w:val="-4"/>
          <w:sz w:val="24"/>
        </w:rPr>
        <w:t> </w:t>
      </w:r>
      <w:r>
        <w:rPr>
          <w:sz w:val="24"/>
        </w:rPr>
        <w:t>where</w:t>
      </w:r>
      <w:r>
        <w:rPr>
          <w:spacing w:val="-4"/>
          <w:sz w:val="24"/>
        </w:rPr>
        <w:t> </w:t>
      </w:r>
      <w:r>
        <w:rPr>
          <w:sz w:val="24"/>
        </w:rPr>
        <w:t>required,</w:t>
      </w:r>
      <w:r>
        <w:rPr>
          <w:spacing w:val="-4"/>
          <w:sz w:val="24"/>
        </w:rPr>
        <w:t> </w:t>
      </w:r>
      <w:r>
        <w:rPr>
          <w:sz w:val="24"/>
        </w:rPr>
        <w:t>seek</w:t>
      </w:r>
      <w:r>
        <w:rPr>
          <w:spacing w:val="-4"/>
          <w:sz w:val="24"/>
        </w:rPr>
        <w:t> </w:t>
      </w:r>
      <w:r>
        <w:rPr>
          <w:sz w:val="24"/>
        </w:rPr>
        <w:t>review</w:t>
      </w:r>
      <w:r>
        <w:rPr>
          <w:spacing w:val="-4"/>
          <w:sz w:val="24"/>
        </w:rPr>
        <w:t> </w:t>
      </w:r>
      <w:r>
        <w:rPr>
          <w:sz w:val="24"/>
        </w:rPr>
        <w:t>from</w:t>
      </w:r>
      <w:r>
        <w:rPr>
          <w:spacing w:val="-3"/>
          <w:sz w:val="24"/>
        </w:rPr>
        <w:t> </w:t>
      </w:r>
      <w:r>
        <w:rPr>
          <w:sz w:val="24"/>
        </w:rPr>
        <w:t>the</w:t>
      </w:r>
      <w:r>
        <w:rPr>
          <w:spacing w:val="-4"/>
          <w:sz w:val="24"/>
        </w:rPr>
        <w:t> </w:t>
      </w:r>
      <w:r>
        <w:rPr>
          <w:sz w:val="24"/>
        </w:rPr>
        <w:t>SCW</w:t>
      </w:r>
      <w:r>
        <w:rPr>
          <w:spacing w:val="-6"/>
          <w:sz w:val="24"/>
        </w:rPr>
        <w:t> </w:t>
      </w:r>
      <w:r>
        <w:rPr>
          <w:sz w:val="24"/>
        </w:rPr>
        <w:t>IG Manager prior to approval or further work.</w:t>
      </w:r>
    </w:p>
    <w:p>
      <w:pPr>
        <w:pStyle w:val="ListParagraph"/>
        <w:numPr>
          <w:ilvl w:val="0"/>
          <w:numId w:val="5"/>
        </w:numPr>
        <w:tabs>
          <w:tab w:pos="880" w:val="left" w:leader="none"/>
        </w:tabs>
        <w:spacing w:line="271" w:lineRule="auto" w:before="0" w:after="0"/>
        <w:ind w:left="880" w:right="614" w:hanging="361"/>
        <w:jc w:val="left"/>
        <w:rPr>
          <w:sz w:val="24"/>
        </w:rPr>
      </w:pPr>
      <w:r>
        <w:rPr>
          <w:sz w:val="24"/>
        </w:rPr>
        <w:t>The</w:t>
      </w:r>
      <w:r>
        <w:rPr>
          <w:spacing w:val="-2"/>
          <w:sz w:val="24"/>
        </w:rPr>
        <w:t> </w:t>
      </w:r>
      <w:r>
        <w:rPr>
          <w:sz w:val="24"/>
        </w:rPr>
        <w:t>ICB</w:t>
      </w:r>
      <w:r>
        <w:rPr>
          <w:spacing w:val="-2"/>
          <w:sz w:val="24"/>
        </w:rPr>
        <w:t> </w:t>
      </w:r>
      <w:r>
        <w:rPr>
          <w:sz w:val="24"/>
        </w:rPr>
        <w:t>will</w:t>
      </w:r>
      <w:r>
        <w:rPr>
          <w:spacing w:val="-4"/>
          <w:sz w:val="24"/>
        </w:rPr>
        <w:t> </w:t>
      </w:r>
      <w:r>
        <w:rPr>
          <w:sz w:val="24"/>
        </w:rPr>
        <w:t>maintain</w:t>
      </w:r>
      <w:r>
        <w:rPr>
          <w:spacing w:val="-3"/>
          <w:sz w:val="24"/>
        </w:rPr>
        <w:t> </w:t>
      </w:r>
      <w:r>
        <w:rPr>
          <w:sz w:val="24"/>
        </w:rPr>
        <w:t>a</w:t>
      </w:r>
      <w:r>
        <w:rPr>
          <w:spacing w:val="-5"/>
          <w:sz w:val="24"/>
        </w:rPr>
        <w:t> </w:t>
      </w:r>
      <w:r>
        <w:rPr>
          <w:sz w:val="24"/>
        </w:rPr>
        <w:t>DPIA</w:t>
      </w:r>
      <w:r>
        <w:rPr>
          <w:spacing w:val="-2"/>
          <w:sz w:val="24"/>
        </w:rPr>
        <w:t> </w:t>
      </w:r>
      <w:r>
        <w:rPr>
          <w:sz w:val="24"/>
        </w:rPr>
        <w:t>framework</w:t>
      </w:r>
      <w:r>
        <w:rPr>
          <w:spacing w:val="-3"/>
          <w:sz w:val="24"/>
        </w:rPr>
        <w:t> </w:t>
      </w:r>
      <w:r>
        <w:rPr>
          <w:sz w:val="24"/>
        </w:rPr>
        <w:t>that</w:t>
      </w:r>
      <w:r>
        <w:rPr>
          <w:spacing w:val="-3"/>
          <w:sz w:val="24"/>
        </w:rPr>
        <w:t> </w:t>
      </w:r>
      <w:r>
        <w:rPr>
          <w:sz w:val="24"/>
        </w:rPr>
        <w:t>includes</w:t>
      </w:r>
      <w:r>
        <w:rPr>
          <w:spacing w:val="-6"/>
          <w:sz w:val="24"/>
        </w:rPr>
        <w:t> </w:t>
      </w:r>
      <w:r>
        <w:rPr>
          <w:sz w:val="24"/>
        </w:rPr>
        <w:t>an</w:t>
      </w:r>
      <w:r>
        <w:rPr>
          <w:spacing w:val="-5"/>
          <w:sz w:val="24"/>
        </w:rPr>
        <w:t> </w:t>
      </w:r>
      <w:r>
        <w:rPr>
          <w:sz w:val="24"/>
        </w:rPr>
        <w:t>approved</w:t>
      </w:r>
      <w:r>
        <w:rPr>
          <w:spacing w:val="-5"/>
          <w:sz w:val="24"/>
        </w:rPr>
        <w:t> </w:t>
      </w:r>
      <w:r>
        <w:rPr>
          <w:sz w:val="24"/>
        </w:rPr>
        <w:t>template,</w:t>
      </w:r>
      <w:r>
        <w:rPr>
          <w:spacing w:val="-5"/>
          <w:sz w:val="24"/>
        </w:rPr>
        <w:t> </w:t>
      </w:r>
      <w:r>
        <w:rPr>
          <w:sz w:val="24"/>
        </w:rPr>
        <w:t>guidance and supporting checklists.</w:t>
      </w:r>
    </w:p>
    <w:p>
      <w:pPr>
        <w:spacing w:after="0" w:line="271" w:lineRule="auto"/>
        <w:jc w:val="left"/>
        <w:rPr>
          <w:sz w:val="24"/>
        </w:rPr>
        <w:sectPr>
          <w:pgSz w:w="11910" w:h="16840"/>
          <w:pgMar w:header="570" w:footer="1032" w:top="1200" w:bottom="1220" w:left="560" w:right="680"/>
        </w:sectPr>
      </w:pPr>
    </w:p>
    <w:p>
      <w:pPr>
        <w:pStyle w:val="BodyText"/>
        <w:spacing w:before="161"/>
        <w:rPr>
          <w:sz w:val="28"/>
        </w:rPr>
      </w:pPr>
    </w:p>
    <w:p>
      <w:pPr>
        <w:pStyle w:val="Heading2"/>
        <w:numPr>
          <w:ilvl w:val="0"/>
          <w:numId w:val="2"/>
        </w:numPr>
        <w:tabs>
          <w:tab w:pos="880" w:val="left" w:leader="none"/>
        </w:tabs>
        <w:spacing w:line="240" w:lineRule="auto" w:before="0" w:after="0"/>
        <w:ind w:left="880" w:right="0" w:hanging="360"/>
        <w:jc w:val="left"/>
      </w:pPr>
      <w:bookmarkStart w:name="_bookmark13" w:id="14"/>
      <w:bookmarkEnd w:id="14"/>
      <w:r>
        <w:rPr/>
      </w:r>
      <w:r>
        <w:rPr>
          <w:color w:val="1C1F62"/>
        </w:rPr>
        <w:t>Training</w:t>
      </w:r>
      <w:r>
        <w:rPr>
          <w:color w:val="1C1F62"/>
          <w:spacing w:val="-3"/>
        </w:rPr>
        <w:t> </w:t>
      </w:r>
      <w:r>
        <w:rPr>
          <w:color w:val="1C1F62"/>
          <w:spacing w:val="-2"/>
        </w:rPr>
        <w:t>requirements</w:t>
      </w:r>
    </w:p>
    <w:p>
      <w:pPr>
        <w:pStyle w:val="BodyText"/>
        <w:spacing w:line="259" w:lineRule="auto" w:before="32"/>
        <w:ind w:left="520" w:right="398"/>
        <w:jc w:val="both"/>
      </w:pPr>
      <w:r>
        <w:rPr/>
        <w:t>All</w:t>
      </w:r>
      <w:r>
        <w:rPr>
          <w:spacing w:val="-6"/>
        </w:rPr>
        <w:t> </w:t>
      </w:r>
      <w:r>
        <w:rPr/>
        <w:t>new</w:t>
      </w:r>
      <w:r>
        <w:rPr>
          <w:spacing w:val="-6"/>
        </w:rPr>
        <w:t> </w:t>
      </w:r>
      <w:r>
        <w:rPr/>
        <w:t>starters</w:t>
      </w:r>
      <w:r>
        <w:rPr>
          <w:spacing w:val="-8"/>
        </w:rPr>
        <w:t> </w:t>
      </w:r>
      <w:r>
        <w:rPr/>
        <w:t>to</w:t>
      </w:r>
      <w:r>
        <w:rPr>
          <w:spacing w:val="-7"/>
        </w:rPr>
        <w:t> </w:t>
      </w:r>
      <w:r>
        <w:rPr/>
        <w:t>the</w:t>
      </w:r>
      <w:r>
        <w:rPr>
          <w:spacing w:val="-4"/>
        </w:rPr>
        <w:t> </w:t>
      </w:r>
      <w:r>
        <w:rPr/>
        <w:t>ICB</w:t>
      </w:r>
      <w:r>
        <w:rPr>
          <w:spacing w:val="-5"/>
        </w:rPr>
        <w:t> </w:t>
      </w:r>
      <w:r>
        <w:rPr/>
        <w:t>inclusive</w:t>
      </w:r>
      <w:r>
        <w:rPr>
          <w:spacing w:val="-7"/>
        </w:rPr>
        <w:t> </w:t>
      </w:r>
      <w:r>
        <w:rPr/>
        <w:t>of</w:t>
      </w:r>
      <w:r>
        <w:rPr>
          <w:spacing w:val="-7"/>
        </w:rPr>
        <w:t> </w:t>
      </w:r>
      <w:r>
        <w:rPr/>
        <w:t>temporary,</w:t>
      </w:r>
      <w:r>
        <w:rPr>
          <w:spacing w:val="-5"/>
        </w:rPr>
        <w:t> </w:t>
      </w:r>
      <w:r>
        <w:rPr/>
        <w:t>bank</w:t>
      </w:r>
      <w:r>
        <w:rPr>
          <w:spacing w:val="-5"/>
        </w:rPr>
        <w:t> </w:t>
      </w:r>
      <w:r>
        <w:rPr/>
        <w:t>staff</w:t>
      </w:r>
      <w:r>
        <w:rPr>
          <w:spacing w:val="-7"/>
        </w:rPr>
        <w:t> </w:t>
      </w:r>
      <w:r>
        <w:rPr/>
        <w:t>and</w:t>
      </w:r>
      <w:r>
        <w:rPr>
          <w:spacing w:val="-5"/>
        </w:rPr>
        <w:t> </w:t>
      </w:r>
      <w:r>
        <w:rPr/>
        <w:t>contractors</w:t>
      </w:r>
      <w:r>
        <w:rPr>
          <w:spacing w:val="-8"/>
        </w:rPr>
        <w:t> </w:t>
      </w:r>
      <w:r>
        <w:rPr/>
        <w:t>must</w:t>
      </w:r>
      <w:r>
        <w:rPr>
          <w:spacing w:val="-7"/>
        </w:rPr>
        <w:t> </w:t>
      </w:r>
      <w:r>
        <w:rPr/>
        <w:t>undertake Information Governance induction training and provide acceptance of the Acceptable Use Policy and Information Governance staff handbook via the ConsultOD portal, to evidence compliance</w:t>
      </w:r>
      <w:r>
        <w:rPr>
          <w:spacing w:val="-11"/>
        </w:rPr>
        <w:t> </w:t>
      </w:r>
      <w:r>
        <w:rPr/>
        <w:t>with</w:t>
      </w:r>
      <w:r>
        <w:rPr>
          <w:spacing w:val="-10"/>
        </w:rPr>
        <w:t> </w:t>
      </w:r>
      <w:r>
        <w:rPr/>
        <w:t>the</w:t>
      </w:r>
      <w:r>
        <w:rPr>
          <w:spacing w:val="-11"/>
        </w:rPr>
        <w:t> </w:t>
      </w:r>
      <w:r>
        <w:rPr/>
        <w:t>Data</w:t>
      </w:r>
      <w:r>
        <w:rPr>
          <w:spacing w:val="-10"/>
        </w:rPr>
        <w:t> </w:t>
      </w:r>
      <w:r>
        <w:rPr/>
        <w:t>Protection</w:t>
      </w:r>
      <w:r>
        <w:rPr>
          <w:spacing w:val="-11"/>
        </w:rPr>
        <w:t> </w:t>
      </w:r>
      <w:r>
        <w:rPr/>
        <w:t>Legislation</w:t>
      </w:r>
      <w:r>
        <w:rPr>
          <w:spacing w:val="-11"/>
        </w:rPr>
        <w:t> </w:t>
      </w:r>
      <w:r>
        <w:rPr/>
        <w:t>and</w:t>
      </w:r>
      <w:r>
        <w:rPr>
          <w:spacing w:val="-11"/>
        </w:rPr>
        <w:t> </w:t>
      </w:r>
      <w:r>
        <w:rPr/>
        <w:t>the</w:t>
      </w:r>
      <w:r>
        <w:rPr>
          <w:spacing w:val="-11"/>
        </w:rPr>
        <w:t> </w:t>
      </w:r>
      <w:r>
        <w:rPr/>
        <w:t>DSP</w:t>
      </w:r>
      <w:r>
        <w:rPr>
          <w:spacing w:val="-11"/>
        </w:rPr>
        <w:t> </w:t>
      </w:r>
      <w:r>
        <w:rPr/>
        <w:t>Toolkit</w:t>
      </w:r>
      <w:r>
        <w:rPr>
          <w:spacing w:val="-13"/>
        </w:rPr>
        <w:t> </w:t>
      </w:r>
      <w:r>
        <w:rPr/>
        <w:t>assertions</w:t>
      </w:r>
      <w:r>
        <w:rPr>
          <w:spacing w:val="-12"/>
        </w:rPr>
        <w:t> </w:t>
      </w:r>
      <w:r>
        <w:rPr/>
        <w:t>as</w:t>
      </w:r>
      <w:r>
        <w:rPr>
          <w:spacing w:val="-14"/>
        </w:rPr>
        <w:t> </w:t>
      </w:r>
      <w:r>
        <w:rPr/>
        <w:t>part</w:t>
      </w:r>
      <w:r>
        <w:rPr>
          <w:spacing w:val="-12"/>
        </w:rPr>
        <w:t> </w:t>
      </w:r>
      <w:r>
        <w:rPr/>
        <w:t>of</w:t>
      </w:r>
      <w:r>
        <w:rPr>
          <w:spacing w:val="-13"/>
        </w:rPr>
        <w:t> </w:t>
      </w:r>
      <w:r>
        <w:rPr/>
        <w:t>the induction process.</w:t>
      </w:r>
      <w:r>
        <w:rPr>
          <w:spacing w:val="40"/>
        </w:rPr>
        <w:t> </w:t>
      </w:r>
      <w:r>
        <w:rPr/>
        <w:t>Extra training will be given to those dealing with requests for</w:t>
      </w:r>
      <w:r>
        <w:rPr>
          <w:spacing w:val="80"/>
        </w:rPr>
        <w:t> </w:t>
      </w:r>
      <w:r>
        <w:rPr/>
        <w:t>information.</w:t>
      </w:r>
      <w:r>
        <w:rPr>
          <w:spacing w:val="40"/>
        </w:rPr>
        <w:t> </w:t>
      </w:r>
      <w:r>
        <w:rPr/>
        <w:t>A register</w:t>
      </w:r>
      <w:r>
        <w:rPr>
          <w:spacing w:val="-3"/>
        </w:rPr>
        <w:t> </w:t>
      </w:r>
      <w:r>
        <w:rPr/>
        <w:t>will</w:t>
      </w:r>
      <w:r>
        <w:rPr>
          <w:spacing w:val="-1"/>
        </w:rPr>
        <w:t> </w:t>
      </w:r>
      <w:r>
        <w:rPr/>
        <w:t>be maintained of all</w:t>
      </w:r>
      <w:r>
        <w:rPr>
          <w:spacing w:val="-1"/>
        </w:rPr>
        <w:t> </w:t>
      </w:r>
      <w:r>
        <w:rPr/>
        <w:t>staff who</w:t>
      </w:r>
      <w:r>
        <w:rPr>
          <w:spacing w:val="-1"/>
        </w:rPr>
        <w:t> </w:t>
      </w:r>
      <w:r>
        <w:rPr/>
        <w:t>have completed</w:t>
      </w:r>
      <w:r>
        <w:rPr>
          <w:spacing w:val="-2"/>
        </w:rPr>
        <w:t> </w:t>
      </w:r>
      <w:r>
        <w:rPr/>
        <w:t>the</w:t>
      </w:r>
      <w:r>
        <w:rPr>
          <w:spacing w:val="-1"/>
        </w:rPr>
        <w:t> </w:t>
      </w:r>
      <w:r>
        <w:rPr/>
        <w:t>online training and those who have attended face to face training sessions where these are offered.</w:t>
      </w:r>
    </w:p>
    <w:p>
      <w:pPr>
        <w:pStyle w:val="BodyText"/>
        <w:spacing w:line="259" w:lineRule="auto" w:before="157"/>
        <w:ind w:left="520" w:right="409"/>
        <w:jc w:val="both"/>
      </w:pPr>
      <w:r>
        <w:rPr/>
        <w:t>Annual</w:t>
      </w:r>
      <w:r>
        <w:rPr>
          <w:spacing w:val="-1"/>
        </w:rPr>
        <w:t> </w:t>
      </w:r>
      <w:r>
        <w:rPr/>
        <w:t>IG</w:t>
      </w:r>
      <w:r>
        <w:rPr>
          <w:spacing w:val="-2"/>
        </w:rPr>
        <w:t> </w:t>
      </w:r>
      <w:r>
        <w:rPr/>
        <w:t>training should be undertaken</w:t>
      </w:r>
      <w:r>
        <w:rPr>
          <w:spacing w:val="-2"/>
        </w:rPr>
        <w:t> </w:t>
      </w:r>
      <w:r>
        <w:rPr/>
        <w:t>by</w:t>
      </w:r>
      <w:r>
        <w:rPr>
          <w:spacing w:val="-3"/>
        </w:rPr>
        <w:t> </w:t>
      </w:r>
      <w:r>
        <w:rPr/>
        <w:t>all</w:t>
      </w:r>
      <w:r>
        <w:rPr>
          <w:spacing w:val="-2"/>
        </w:rPr>
        <w:t> </w:t>
      </w:r>
      <w:r>
        <w:rPr/>
        <w:t>staff via</w:t>
      </w:r>
      <w:r>
        <w:rPr>
          <w:spacing w:val="-3"/>
        </w:rPr>
        <w:t> </w:t>
      </w:r>
      <w:r>
        <w:rPr/>
        <w:t>the</w:t>
      </w:r>
      <w:r>
        <w:rPr>
          <w:spacing w:val="-2"/>
        </w:rPr>
        <w:t> </w:t>
      </w:r>
      <w:r>
        <w:rPr/>
        <w:t>ConsultOD</w:t>
      </w:r>
      <w:r>
        <w:rPr>
          <w:spacing w:val="-1"/>
        </w:rPr>
        <w:t> </w:t>
      </w:r>
      <w:r>
        <w:rPr/>
        <w:t>portal</w:t>
      </w:r>
      <w:r>
        <w:rPr>
          <w:spacing w:val="-3"/>
        </w:rPr>
        <w:t> </w:t>
      </w:r>
      <w:r>
        <w:rPr/>
        <w:t>or</w:t>
      </w:r>
      <w:r>
        <w:rPr>
          <w:spacing w:val="-2"/>
        </w:rPr>
        <w:t> </w:t>
      </w:r>
      <w:r>
        <w:rPr/>
        <w:t>face to</w:t>
      </w:r>
      <w:r>
        <w:rPr>
          <w:spacing w:val="-2"/>
        </w:rPr>
        <w:t> </w:t>
      </w:r>
      <w:r>
        <w:rPr/>
        <w:t>face </w:t>
      </w:r>
      <w:r>
        <w:rPr>
          <w:spacing w:val="-2"/>
        </w:rPr>
        <w:t>training.</w:t>
      </w:r>
    </w:p>
    <w:p>
      <w:pPr>
        <w:pStyle w:val="BodyText"/>
      </w:pPr>
    </w:p>
    <w:p>
      <w:pPr>
        <w:pStyle w:val="BodyText"/>
      </w:pPr>
    </w:p>
    <w:p>
      <w:pPr>
        <w:pStyle w:val="BodyText"/>
      </w:pPr>
    </w:p>
    <w:p>
      <w:pPr>
        <w:pStyle w:val="BodyText"/>
        <w:spacing w:before="51"/>
      </w:pPr>
    </w:p>
    <w:p>
      <w:pPr>
        <w:pStyle w:val="Heading2"/>
        <w:numPr>
          <w:ilvl w:val="0"/>
          <w:numId w:val="2"/>
        </w:numPr>
        <w:tabs>
          <w:tab w:pos="969" w:val="left" w:leader="none"/>
        </w:tabs>
        <w:spacing w:line="240" w:lineRule="auto" w:before="1" w:after="0"/>
        <w:ind w:left="969" w:right="0" w:hanging="449"/>
        <w:jc w:val="left"/>
      </w:pPr>
      <w:bookmarkStart w:name="_bookmark14" w:id="15"/>
      <w:bookmarkEnd w:id="15"/>
      <w:r>
        <w:rPr/>
      </w:r>
      <w:r>
        <w:rPr>
          <w:color w:val="1C1F62"/>
        </w:rPr>
        <w:t>Equality</w:t>
      </w:r>
      <w:r>
        <w:rPr>
          <w:color w:val="1C1F62"/>
          <w:spacing w:val="-4"/>
        </w:rPr>
        <w:t> </w:t>
      </w:r>
      <w:r>
        <w:rPr>
          <w:color w:val="1C1F62"/>
        </w:rPr>
        <w:t>Impact</w:t>
      </w:r>
      <w:r>
        <w:rPr>
          <w:color w:val="1C1F62"/>
          <w:spacing w:val="-6"/>
        </w:rPr>
        <w:t> </w:t>
      </w:r>
      <w:r>
        <w:rPr>
          <w:color w:val="1C1F62"/>
          <w:spacing w:val="-2"/>
        </w:rPr>
        <w:t>Assessment</w:t>
      </w:r>
    </w:p>
    <w:p>
      <w:pPr>
        <w:pStyle w:val="BodyText"/>
        <w:spacing w:before="31"/>
        <w:ind w:left="520"/>
        <w:jc w:val="both"/>
      </w:pPr>
      <w:r>
        <w:rPr/>
        <w:t>See</w:t>
      </w:r>
      <w:r>
        <w:rPr>
          <w:spacing w:val="-6"/>
        </w:rPr>
        <w:t> </w:t>
      </w:r>
      <w:r>
        <w:rPr/>
        <w:t>appendix </w:t>
      </w:r>
      <w:r>
        <w:rPr>
          <w:spacing w:val="-5"/>
        </w:rPr>
        <w:t>14.</w:t>
      </w:r>
    </w:p>
    <w:p>
      <w:pPr>
        <w:pStyle w:val="BodyText"/>
        <w:spacing w:before="128"/>
      </w:pPr>
    </w:p>
    <w:p>
      <w:pPr>
        <w:pStyle w:val="Heading2"/>
        <w:numPr>
          <w:ilvl w:val="0"/>
          <w:numId w:val="2"/>
        </w:numPr>
        <w:tabs>
          <w:tab w:pos="969" w:val="left" w:leader="none"/>
        </w:tabs>
        <w:spacing w:line="259" w:lineRule="auto" w:before="0" w:after="0"/>
        <w:ind w:left="520" w:right="2349" w:firstLine="0"/>
        <w:jc w:val="left"/>
      </w:pPr>
      <w:bookmarkStart w:name="_bookmark15" w:id="16"/>
      <w:bookmarkEnd w:id="16"/>
      <w:r>
        <w:rPr/>
      </w:r>
      <w:r>
        <w:rPr>
          <w:color w:val="1C1F62"/>
        </w:rPr>
        <w:t>Implementation</w:t>
      </w:r>
      <w:r>
        <w:rPr>
          <w:color w:val="1C1F62"/>
          <w:spacing w:val="-10"/>
        </w:rPr>
        <w:t> </w:t>
      </w:r>
      <w:r>
        <w:rPr>
          <w:color w:val="1C1F62"/>
        </w:rPr>
        <w:t>and</w:t>
      </w:r>
      <w:r>
        <w:rPr>
          <w:color w:val="1C1F62"/>
          <w:spacing w:val="-7"/>
        </w:rPr>
        <w:t> </w:t>
      </w:r>
      <w:r>
        <w:rPr>
          <w:color w:val="1C1F62"/>
        </w:rPr>
        <w:t>Monitoring</w:t>
      </w:r>
      <w:r>
        <w:rPr>
          <w:color w:val="1C1F62"/>
          <w:spacing w:val="-10"/>
        </w:rPr>
        <w:t> </w:t>
      </w:r>
      <w:r>
        <w:rPr>
          <w:color w:val="1C1F62"/>
        </w:rPr>
        <w:t>Compliance</w:t>
      </w:r>
      <w:r>
        <w:rPr>
          <w:color w:val="1C1F62"/>
          <w:spacing w:val="-7"/>
        </w:rPr>
        <w:t> </w:t>
      </w:r>
      <w:r>
        <w:rPr>
          <w:color w:val="1C1F62"/>
        </w:rPr>
        <w:t>and </w:t>
      </w:r>
      <w:r>
        <w:rPr>
          <w:color w:val="1C1F62"/>
          <w:spacing w:val="-2"/>
        </w:rPr>
        <w:t>Effectiveness</w:t>
      </w:r>
    </w:p>
    <w:p>
      <w:pPr>
        <w:pStyle w:val="BodyText"/>
        <w:spacing w:line="276" w:lineRule="auto"/>
        <w:ind w:left="520" w:right="445"/>
      </w:pPr>
      <w:r>
        <w:rPr/>
        <w:t>This</w:t>
      </w:r>
      <w:r>
        <w:rPr>
          <w:spacing w:val="-3"/>
        </w:rPr>
        <w:t> </w:t>
      </w:r>
      <w:r>
        <w:rPr/>
        <w:t>policy</w:t>
      </w:r>
      <w:r>
        <w:rPr>
          <w:spacing w:val="-3"/>
        </w:rPr>
        <w:t> </w:t>
      </w:r>
      <w:r>
        <w:rPr/>
        <w:t>will</w:t>
      </w:r>
      <w:r>
        <w:rPr>
          <w:spacing w:val="-3"/>
        </w:rPr>
        <w:t> </w:t>
      </w:r>
      <w:r>
        <w:rPr/>
        <w:t>be</w:t>
      </w:r>
      <w:r>
        <w:rPr>
          <w:spacing w:val="-5"/>
        </w:rPr>
        <w:t> </w:t>
      </w:r>
      <w:r>
        <w:rPr/>
        <w:t>monitored</w:t>
      </w:r>
      <w:r>
        <w:rPr>
          <w:spacing w:val="-4"/>
        </w:rPr>
        <w:t> </w:t>
      </w:r>
      <w:r>
        <w:rPr/>
        <w:t>by</w:t>
      </w:r>
      <w:r>
        <w:rPr>
          <w:spacing w:val="-3"/>
        </w:rPr>
        <w:t> </w:t>
      </w:r>
      <w:r>
        <w:rPr/>
        <w:t>SCW</w:t>
      </w:r>
      <w:r>
        <w:rPr>
          <w:spacing w:val="-2"/>
        </w:rPr>
        <w:t> </w:t>
      </w:r>
      <w:r>
        <w:rPr/>
        <w:t>IG</w:t>
      </w:r>
      <w:r>
        <w:rPr>
          <w:spacing w:val="-3"/>
        </w:rPr>
        <w:t> </w:t>
      </w:r>
      <w:r>
        <w:rPr/>
        <w:t>Team</w:t>
      </w:r>
      <w:r>
        <w:rPr>
          <w:spacing w:val="-2"/>
        </w:rPr>
        <w:t> </w:t>
      </w:r>
      <w:r>
        <w:rPr/>
        <w:t>and</w:t>
      </w:r>
      <w:r>
        <w:rPr>
          <w:spacing w:val="-3"/>
        </w:rPr>
        <w:t> </w:t>
      </w:r>
      <w:r>
        <w:rPr/>
        <w:t>the</w:t>
      </w:r>
      <w:r>
        <w:rPr>
          <w:spacing w:val="-5"/>
        </w:rPr>
        <w:t> </w:t>
      </w:r>
      <w:r>
        <w:rPr/>
        <w:t>IGG</w:t>
      </w:r>
      <w:r>
        <w:rPr>
          <w:spacing w:val="-5"/>
        </w:rPr>
        <w:t> </w:t>
      </w:r>
      <w:r>
        <w:rPr/>
        <w:t>to</w:t>
      </w:r>
      <w:r>
        <w:rPr>
          <w:spacing w:val="-2"/>
        </w:rPr>
        <w:t> </w:t>
      </w:r>
      <w:r>
        <w:rPr/>
        <w:t>ensure</w:t>
      </w:r>
      <w:r>
        <w:rPr>
          <w:spacing w:val="-3"/>
        </w:rPr>
        <w:t> </w:t>
      </w:r>
      <w:r>
        <w:rPr/>
        <w:t>any</w:t>
      </w:r>
      <w:r>
        <w:rPr>
          <w:spacing w:val="-3"/>
        </w:rPr>
        <w:t> </w:t>
      </w:r>
      <w:r>
        <w:rPr/>
        <w:t>legislative changes that occur before the review date are incorporated.</w:t>
      </w:r>
    </w:p>
    <w:p>
      <w:pPr>
        <w:pStyle w:val="BodyText"/>
        <w:spacing w:before="81"/>
      </w:pPr>
    </w:p>
    <w:p>
      <w:pPr>
        <w:pStyle w:val="BodyText"/>
        <w:spacing w:line="276" w:lineRule="auto" w:before="1"/>
        <w:ind w:left="520" w:right="445"/>
      </w:pPr>
      <w:r>
        <w:rPr/>
        <w:t>The</w:t>
      </w:r>
      <w:r>
        <w:rPr>
          <w:spacing w:val="-3"/>
        </w:rPr>
        <w:t> </w:t>
      </w:r>
      <w:r>
        <w:rPr/>
        <w:t>ICB</w:t>
      </w:r>
      <w:r>
        <w:rPr>
          <w:spacing w:val="-3"/>
        </w:rPr>
        <w:t> </w:t>
      </w:r>
      <w:r>
        <w:rPr/>
        <w:t>will</w:t>
      </w:r>
      <w:r>
        <w:rPr>
          <w:spacing w:val="-4"/>
        </w:rPr>
        <w:t> </w:t>
      </w:r>
      <w:r>
        <w:rPr/>
        <w:t>ensure</w:t>
      </w:r>
      <w:r>
        <w:rPr>
          <w:spacing w:val="-3"/>
        </w:rPr>
        <w:t> </w:t>
      </w:r>
      <w:r>
        <w:rPr/>
        <w:t>that</w:t>
      </w:r>
      <w:r>
        <w:rPr>
          <w:spacing w:val="-3"/>
        </w:rPr>
        <w:t> </w:t>
      </w:r>
      <w:r>
        <w:rPr/>
        <w:t>information</w:t>
      </w:r>
      <w:r>
        <w:rPr>
          <w:spacing w:val="-5"/>
        </w:rPr>
        <w:t> </w:t>
      </w:r>
      <w:r>
        <w:rPr/>
        <w:t>governance</w:t>
      </w:r>
      <w:r>
        <w:rPr>
          <w:spacing w:val="-3"/>
        </w:rPr>
        <w:t> </w:t>
      </w:r>
      <w:r>
        <w:rPr/>
        <w:t>is</w:t>
      </w:r>
      <w:r>
        <w:rPr>
          <w:spacing w:val="-3"/>
        </w:rPr>
        <w:t> </w:t>
      </w:r>
      <w:r>
        <w:rPr/>
        <w:t>part</w:t>
      </w:r>
      <w:r>
        <w:rPr>
          <w:spacing w:val="-3"/>
        </w:rPr>
        <w:t> </w:t>
      </w:r>
      <w:r>
        <w:rPr/>
        <w:t>of</w:t>
      </w:r>
      <w:r>
        <w:rPr>
          <w:spacing w:val="-5"/>
        </w:rPr>
        <w:t> </w:t>
      </w:r>
      <w:r>
        <w:rPr/>
        <w:t>its</w:t>
      </w:r>
      <w:r>
        <w:rPr>
          <w:spacing w:val="-3"/>
        </w:rPr>
        <w:t> </w:t>
      </w:r>
      <w:r>
        <w:rPr/>
        <w:t>annual</w:t>
      </w:r>
      <w:r>
        <w:rPr>
          <w:spacing w:val="-3"/>
        </w:rPr>
        <w:t> </w:t>
      </w:r>
      <w:r>
        <w:rPr/>
        <w:t>cycle</w:t>
      </w:r>
      <w:r>
        <w:rPr>
          <w:spacing w:val="-3"/>
        </w:rPr>
        <w:t> </w:t>
      </w:r>
      <w:r>
        <w:rPr/>
        <w:t>of</w:t>
      </w:r>
      <w:r>
        <w:rPr>
          <w:spacing w:val="-3"/>
        </w:rPr>
        <w:t> </w:t>
      </w:r>
      <w:r>
        <w:rPr/>
        <w:t>internal</w:t>
      </w:r>
      <w:r>
        <w:rPr>
          <w:spacing w:val="-6"/>
        </w:rPr>
        <w:t> </w:t>
      </w:r>
      <w:r>
        <w:rPr/>
        <w:t>audit. The results of audits will be reported to the ICB Information Governance Steering Group along with relevant action plans which they will monitor.</w:t>
      </w:r>
    </w:p>
    <w:p>
      <w:pPr>
        <w:pStyle w:val="BodyText"/>
        <w:spacing w:before="84"/>
      </w:pPr>
    </w:p>
    <w:p>
      <w:pPr>
        <w:pStyle w:val="BodyText"/>
        <w:spacing w:line="276" w:lineRule="auto"/>
        <w:ind w:left="520" w:right="445"/>
      </w:pPr>
      <w:r>
        <w:rPr/>
        <w:t>Compliance with the ICB policies is stipulated in staff contracts of employment.</w:t>
      </w:r>
      <w:r>
        <w:rPr>
          <w:spacing w:val="40"/>
        </w:rPr>
        <w:t> </w:t>
      </w:r>
      <w:r>
        <w:rPr/>
        <w:t>If staff members</w:t>
      </w:r>
      <w:r>
        <w:rPr>
          <w:spacing w:val="-3"/>
        </w:rPr>
        <w:t> </w:t>
      </w:r>
      <w:r>
        <w:rPr/>
        <w:t>are</w:t>
      </w:r>
      <w:r>
        <w:rPr>
          <w:spacing w:val="-3"/>
        </w:rPr>
        <w:t> </w:t>
      </w:r>
      <w:r>
        <w:rPr/>
        <w:t>unable</w:t>
      </w:r>
      <w:r>
        <w:rPr>
          <w:spacing w:val="-3"/>
        </w:rPr>
        <w:t> </w:t>
      </w:r>
      <w:r>
        <w:rPr/>
        <w:t>to</w:t>
      </w:r>
      <w:r>
        <w:rPr>
          <w:spacing w:val="-3"/>
        </w:rPr>
        <w:t> </w:t>
      </w:r>
      <w:r>
        <w:rPr/>
        <w:t>follow</w:t>
      </w:r>
      <w:r>
        <w:rPr>
          <w:spacing w:val="-3"/>
        </w:rPr>
        <w:t> </w:t>
      </w:r>
      <w:r>
        <w:rPr/>
        <w:t>the</w:t>
      </w:r>
      <w:r>
        <w:rPr>
          <w:spacing w:val="-5"/>
        </w:rPr>
        <w:t> </w:t>
      </w:r>
      <w:r>
        <w:rPr/>
        <w:t>ICB</w:t>
      </w:r>
      <w:r>
        <w:rPr>
          <w:spacing w:val="-3"/>
        </w:rPr>
        <w:t> </w:t>
      </w:r>
      <w:r>
        <w:rPr/>
        <w:t>policies</w:t>
      </w:r>
      <w:r>
        <w:rPr>
          <w:spacing w:val="-3"/>
        </w:rPr>
        <w:t> </w:t>
      </w:r>
      <w:r>
        <w:rPr/>
        <w:t>or</w:t>
      </w:r>
      <w:r>
        <w:rPr>
          <w:spacing w:val="-3"/>
        </w:rPr>
        <w:t> </w:t>
      </w:r>
      <w:r>
        <w:rPr/>
        <w:t>the</w:t>
      </w:r>
      <w:r>
        <w:rPr>
          <w:spacing w:val="-5"/>
        </w:rPr>
        <w:t> </w:t>
      </w:r>
      <w:r>
        <w:rPr/>
        <w:t>policy</w:t>
      </w:r>
      <w:r>
        <w:rPr>
          <w:spacing w:val="-3"/>
        </w:rPr>
        <w:t> </w:t>
      </w:r>
      <w:r>
        <w:rPr/>
        <w:t>requirements</w:t>
      </w:r>
      <w:r>
        <w:rPr>
          <w:spacing w:val="-3"/>
        </w:rPr>
        <w:t> </w:t>
      </w:r>
      <w:r>
        <w:rPr/>
        <w:t>cannot</w:t>
      </w:r>
      <w:r>
        <w:rPr>
          <w:spacing w:val="-3"/>
        </w:rPr>
        <w:t> </w:t>
      </w:r>
      <w:r>
        <w:rPr/>
        <w:t>be</w:t>
      </w:r>
      <w:r>
        <w:rPr>
          <w:spacing w:val="-3"/>
        </w:rPr>
        <w:t> </w:t>
      </w:r>
      <w:r>
        <w:rPr/>
        <w:t>applied in a specific set of circumstances, this must be immediately reported to the Line Manager, who should take appropriate action.</w:t>
      </w:r>
      <w:r>
        <w:rPr>
          <w:spacing w:val="40"/>
        </w:rPr>
        <w:t> </w:t>
      </w:r>
      <w:r>
        <w:rPr/>
        <w:t>Any non-compliance with the ICB policies or failure to report non-compliance may be treated as a disciplinary offence.</w:t>
      </w:r>
    </w:p>
    <w:p>
      <w:pPr>
        <w:pStyle w:val="BodyText"/>
        <w:spacing w:before="85"/>
      </w:pPr>
    </w:p>
    <w:p>
      <w:pPr>
        <w:pStyle w:val="Heading2"/>
        <w:numPr>
          <w:ilvl w:val="0"/>
          <w:numId w:val="2"/>
        </w:numPr>
        <w:tabs>
          <w:tab w:pos="969" w:val="left" w:leader="none"/>
        </w:tabs>
        <w:spacing w:line="240" w:lineRule="auto" w:before="0" w:after="0"/>
        <w:ind w:left="969" w:right="0" w:hanging="449"/>
        <w:jc w:val="left"/>
      </w:pPr>
      <w:bookmarkStart w:name="_bookmark16" w:id="17"/>
      <w:bookmarkEnd w:id="17"/>
      <w:r>
        <w:rPr/>
      </w:r>
      <w:r>
        <w:rPr>
          <w:color w:val="1C1F62"/>
        </w:rPr>
        <w:t>Countering</w:t>
      </w:r>
      <w:r>
        <w:rPr>
          <w:color w:val="1C1F62"/>
          <w:spacing w:val="-6"/>
        </w:rPr>
        <w:t> </w:t>
      </w:r>
      <w:r>
        <w:rPr>
          <w:color w:val="1C1F62"/>
        </w:rPr>
        <w:t>Fraud,</w:t>
      </w:r>
      <w:r>
        <w:rPr>
          <w:color w:val="1C1F62"/>
          <w:spacing w:val="-3"/>
        </w:rPr>
        <w:t> </w:t>
      </w:r>
      <w:r>
        <w:rPr>
          <w:color w:val="1C1F62"/>
        </w:rPr>
        <w:t>Bribery</w:t>
      </w:r>
      <w:r>
        <w:rPr>
          <w:color w:val="1C1F62"/>
          <w:spacing w:val="-4"/>
        </w:rPr>
        <w:t> </w:t>
      </w:r>
      <w:r>
        <w:rPr>
          <w:color w:val="1C1F62"/>
        </w:rPr>
        <w:t>and</w:t>
      </w:r>
      <w:r>
        <w:rPr>
          <w:color w:val="1C1F62"/>
          <w:spacing w:val="-5"/>
        </w:rPr>
        <w:t> </w:t>
      </w:r>
      <w:r>
        <w:rPr>
          <w:color w:val="1C1F62"/>
          <w:spacing w:val="-2"/>
        </w:rPr>
        <w:t>Corruption</w:t>
      </w:r>
    </w:p>
    <w:p>
      <w:pPr>
        <w:pStyle w:val="BodyText"/>
        <w:spacing w:line="259" w:lineRule="auto" w:before="32"/>
        <w:ind w:left="520" w:right="105"/>
        <w:jc w:val="both"/>
      </w:pPr>
      <w:r>
        <w:rPr/>
        <w:t>The ICB is committed to reducing and preventing fraud, bribery and</w:t>
      </w:r>
      <w:r>
        <w:rPr>
          <w:spacing w:val="-1"/>
        </w:rPr>
        <w:t> </w:t>
      </w:r>
      <w:r>
        <w:rPr/>
        <w:t>corruption in the NHS</w:t>
      </w:r>
      <w:r>
        <w:rPr>
          <w:spacing w:val="-1"/>
        </w:rPr>
        <w:t> </w:t>
      </w:r>
      <w:r>
        <w:rPr/>
        <w:t>and ensuring that funds stolen by these means are put back into patient care. During the development of this policy document, we have given consideration to how fraud, bribery or corruption</w:t>
      </w:r>
      <w:r>
        <w:rPr>
          <w:spacing w:val="-11"/>
        </w:rPr>
        <w:t> </w:t>
      </w:r>
      <w:r>
        <w:rPr/>
        <w:t>may</w:t>
      </w:r>
      <w:r>
        <w:rPr>
          <w:spacing w:val="-9"/>
        </w:rPr>
        <w:t> </w:t>
      </w:r>
      <w:r>
        <w:rPr/>
        <w:t>occur</w:t>
      </w:r>
      <w:r>
        <w:rPr>
          <w:spacing w:val="-10"/>
        </w:rPr>
        <w:t> </w:t>
      </w:r>
      <w:r>
        <w:rPr/>
        <w:t>in</w:t>
      </w:r>
      <w:r>
        <w:rPr>
          <w:spacing w:val="-6"/>
        </w:rPr>
        <w:t> </w:t>
      </w:r>
      <w:r>
        <w:rPr/>
        <w:t>this</w:t>
      </w:r>
      <w:r>
        <w:rPr>
          <w:spacing w:val="-7"/>
        </w:rPr>
        <w:t> </w:t>
      </w:r>
      <w:r>
        <w:rPr/>
        <w:t>area.</w:t>
      </w:r>
      <w:r>
        <w:rPr>
          <w:spacing w:val="-9"/>
        </w:rPr>
        <w:t> </w:t>
      </w:r>
      <w:r>
        <w:rPr/>
        <w:t>We</w:t>
      </w:r>
      <w:r>
        <w:rPr>
          <w:spacing w:val="-8"/>
        </w:rPr>
        <w:t> </w:t>
      </w:r>
      <w:r>
        <w:rPr/>
        <w:t>have</w:t>
      </w:r>
      <w:r>
        <w:rPr>
          <w:spacing w:val="-8"/>
        </w:rPr>
        <w:t> </w:t>
      </w:r>
      <w:r>
        <w:rPr/>
        <w:t>ensured</w:t>
      </w:r>
      <w:r>
        <w:rPr>
          <w:spacing w:val="-8"/>
        </w:rPr>
        <w:t> </w:t>
      </w:r>
      <w:r>
        <w:rPr/>
        <w:t>that</w:t>
      </w:r>
      <w:r>
        <w:rPr>
          <w:spacing w:val="-9"/>
        </w:rPr>
        <w:t> </w:t>
      </w:r>
      <w:r>
        <w:rPr/>
        <w:t>our</w:t>
      </w:r>
      <w:r>
        <w:rPr>
          <w:spacing w:val="-10"/>
        </w:rPr>
        <w:t> </w:t>
      </w:r>
      <w:r>
        <w:rPr/>
        <w:t>processes</w:t>
      </w:r>
      <w:r>
        <w:rPr>
          <w:spacing w:val="-7"/>
        </w:rPr>
        <w:t> </w:t>
      </w:r>
      <w:r>
        <w:rPr/>
        <w:t>will</w:t>
      </w:r>
      <w:r>
        <w:rPr>
          <w:spacing w:val="-8"/>
        </w:rPr>
        <w:t> </w:t>
      </w:r>
      <w:r>
        <w:rPr/>
        <w:t>assist</w:t>
      </w:r>
      <w:r>
        <w:rPr>
          <w:spacing w:val="-9"/>
        </w:rPr>
        <w:t> </w:t>
      </w:r>
      <w:r>
        <w:rPr/>
        <w:t>in</w:t>
      </w:r>
      <w:r>
        <w:rPr>
          <w:spacing w:val="-9"/>
        </w:rPr>
        <w:t> </w:t>
      </w:r>
      <w:r>
        <w:rPr/>
        <w:t>preventing, detecting and deterring fraud, bribery and corruption and considered what our responses to allegation of incidents of any such acts would be.</w:t>
      </w:r>
    </w:p>
    <w:p>
      <w:pPr>
        <w:spacing w:after="0" w:line="259" w:lineRule="auto"/>
        <w:jc w:val="both"/>
        <w:sectPr>
          <w:pgSz w:w="11910" w:h="16840"/>
          <w:pgMar w:header="570" w:footer="1032" w:top="1200" w:bottom="1220" w:left="560" w:right="680"/>
        </w:sectPr>
      </w:pPr>
    </w:p>
    <w:p>
      <w:pPr>
        <w:pStyle w:val="BodyText"/>
        <w:spacing w:before="206"/>
      </w:pPr>
    </w:p>
    <w:p>
      <w:pPr>
        <w:pStyle w:val="BodyText"/>
        <w:spacing w:line="259" w:lineRule="auto"/>
        <w:ind w:left="520" w:right="107"/>
        <w:jc w:val="both"/>
      </w:pPr>
      <w:r>
        <w:rPr/>
        <w:t>In the event that fraud, bribery or corruption is reasonably suspected, and in accordance with the</w:t>
      </w:r>
      <w:r>
        <w:rPr>
          <w:spacing w:val="-14"/>
        </w:rPr>
        <w:t> </w:t>
      </w:r>
      <w:r>
        <w:rPr/>
        <w:t>Local</w:t>
      </w:r>
      <w:r>
        <w:rPr>
          <w:spacing w:val="-13"/>
        </w:rPr>
        <w:t> </w:t>
      </w:r>
      <w:r>
        <w:rPr/>
        <w:t>Counter</w:t>
      </w:r>
      <w:r>
        <w:rPr>
          <w:spacing w:val="-13"/>
        </w:rPr>
        <w:t> </w:t>
      </w:r>
      <w:r>
        <w:rPr/>
        <w:t>Fraud,</w:t>
      </w:r>
      <w:r>
        <w:rPr>
          <w:spacing w:val="-12"/>
        </w:rPr>
        <w:t> </w:t>
      </w:r>
      <w:r>
        <w:rPr/>
        <w:t>Bribery</w:t>
      </w:r>
      <w:r>
        <w:rPr>
          <w:spacing w:val="-16"/>
        </w:rPr>
        <w:t> </w:t>
      </w:r>
      <w:r>
        <w:rPr/>
        <w:t>and</w:t>
      </w:r>
      <w:r>
        <w:rPr>
          <w:spacing w:val="-14"/>
        </w:rPr>
        <w:t> </w:t>
      </w:r>
      <w:r>
        <w:rPr/>
        <w:t>Corruption</w:t>
      </w:r>
      <w:r>
        <w:rPr>
          <w:spacing w:val="-12"/>
        </w:rPr>
        <w:t> </w:t>
      </w:r>
      <w:r>
        <w:rPr/>
        <w:t>Policy,</w:t>
      </w:r>
      <w:r>
        <w:rPr>
          <w:spacing w:val="-12"/>
        </w:rPr>
        <w:t> </w:t>
      </w:r>
      <w:r>
        <w:rPr/>
        <w:t>the</w:t>
      </w:r>
      <w:r>
        <w:rPr>
          <w:spacing w:val="-5"/>
        </w:rPr>
        <w:t> </w:t>
      </w:r>
      <w:r>
        <w:rPr/>
        <w:t>ICB</w:t>
      </w:r>
      <w:r>
        <w:rPr>
          <w:spacing w:val="-12"/>
        </w:rPr>
        <w:t> </w:t>
      </w:r>
      <w:r>
        <w:rPr/>
        <w:t>will</w:t>
      </w:r>
      <w:r>
        <w:rPr>
          <w:spacing w:val="-14"/>
        </w:rPr>
        <w:t> </w:t>
      </w:r>
      <w:r>
        <w:rPr/>
        <w:t>refer</w:t>
      </w:r>
      <w:r>
        <w:rPr>
          <w:spacing w:val="-13"/>
        </w:rPr>
        <w:t> </w:t>
      </w:r>
      <w:r>
        <w:rPr/>
        <w:t>the</w:t>
      </w:r>
      <w:r>
        <w:rPr>
          <w:spacing w:val="-14"/>
        </w:rPr>
        <w:t> </w:t>
      </w:r>
      <w:r>
        <w:rPr/>
        <w:t>matter</w:t>
      </w:r>
      <w:r>
        <w:rPr>
          <w:spacing w:val="-13"/>
        </w:rPr>
        <w:t> </w:t>
      </w:r>
      <w:r>
        <w:rPr/>
        <w:t>to</w:t>
      </w:r>
      <w:r>
        <w:rPr>
          <w:spacing w:val="-12"/>
        </w:rPr>
        <w:t> </w:t>
      </w:r>
      <w:r>
        <w:rPr/>
        <w:t>the</w:t>
      </w:r>
      <w:r>
        <w:rPr>
          <w:spacing w:val="-12"/>
        </w:rPr>
        <w:t> </w:t>
      </w:r>
      <w:r>
        <w:rPr/>
        <w:t>ICB’s Local</w:t>
      </w:r>
      <w:r>
        <w:rPr>
          <w:spacing w:val="-7"/>
        </w:rPr>
        <w:t> </w:t>
      </w:r>
      <w:r>
        <w:rPr/>
        <w:t>Counter</w:t>
      </w:r>
      <w:r>
        <w:rPr>
          <w:spacing w:val="-7"/>
        </w:rPr>
        <w:t> </w:t>
      </w:r>
      <w:r>
        <w:rPr/>
        <w:t>Fraud</w:t>
      </w:r>
      <w:r>
        <w:rPr>
          <w:spacing w:val="-6"/>
        </w:rPr>
        <w:t> </w:t>
      </w:r>
      <w:r>
        <w:rPr/>
        <w:t>Specialist</w:t>
      </w:r>
      <w:r>
        <w:rPr>
          <w:spacing w:val="-7"/>
        </w:rPr>
        <w:t> </w:t>
      </w:r>
      <w:r>
        <w:rPr/>
        <w:t>for</w:t>
      </w:r>
      <w:r>
        <w:rPr>
          <w:spacing w:val="-7"/>
        </w:rPr>
        <w:t> </w:t>
      </w:r>
      <w:r>
        <w:rPr/>
        <w:t>investigation</w:t>
      </w:r>
      <w:r>
        <w:rPr>
          <w:spacing w:val="-6"/>
        </w:rPr>
        <w:t> </w:t>
      </w:r>
      <w:r>
        <w:rPr/>
        <w:t>and</w:t>
      </w:r>
      <w:r>
        <w:rPr>
          <w:spacing w:val="-6"/>
        </w:rPr>
        <w:t> </w:t>
      </w:r>
      <w:r>
        <w:rPr/>
        <w:t>reserve</w:t>
      </w:r>
      <w:r>
        <w:rPr>
          <w:spacing w:val="-7"/>
        </w:rPr>
        <w:t> </w:t>
      </w:r>
      <w:r>
        <w:rPr/>
        <w:t>the</w:t>
      </w:r>
      <w:r>
        <w:rPr>
          <w:spacing w:val="-6"/>
        </w:rPr>
        <w:t> </w:t>
      </w:r>
      <w:r>
        <w:rPr/>
        <w:t>right</w:t>
      </w:r>
      <w:r>
        <w:rPr>
          <w:spacing w:val="-6"/>
        </w:rPr>
        <w:t> </w:t>
      </w:r>
      <w:r>
        <w:rPr/>
        <w:t>to</w:t>
      </w:r>
      <w:r>
        <w:rPr>
          <w:spacing w:val="-6"/>
        </w:rPr>
        <w:t> </w:t>
      </w:r>
      <w:r>
        <w:rPr/>
        <w:t>prosecute</w:t>
      </w:r>
      <w:r>
        <w:rPr>
          <w:spacing w:val="-6"/>
        </w:rPr>
        <w:t> </w:t>
      </w:r>
      <w:r>
        <w:rPr/>
        <w:t>where</w:t>
      </w:r>
      <w:r>
        <w:rPr>
          <w:spacing w:val="-6"/>
        </w:rPr>
        <w:t> </w:t>
      </w:r>
      <w:r>
        <w:rPr/>
        <w:t>fraud, bribery or corruption is suspected to have taken place. In cases involving any type of loss (financial or other), the ICB will take action to recover those losses by working with law enforcement agencies and investigators in both criminal and/or civil courts.</w:t>
      </w:r>
    </w:p>
    <w:p>
      <w:pPr>
        <w:pStyle w:val="BodyText"/>
        <w:spacing w:before="205"/>
      </w:pPr>
    </w:p>
    <w:p>
      <w:pPr>
        <w:pStyle w:val="Heading2"/>
        <w:numPr>
          <w:ilvl w:val="0"/>
          <w:numId w:val="2"/>
        </w:numPr>
        <w:tabs>
          <w:tab w:pos="969" w:val="left" w:leader="none"/>
        </w:tabs>
        <w:spacing w:line="240" w:lineRule="auto" w:before="0" w:after="0"/>
        <w:ind w:left="969" w:right="0" w:hanging="449"/>
        <w:jc w:val="both"/>
      </w:pPr>
      <w:bookmarkStart w:name="_bookmark17" w:id="18"/>
      <w:bookmarkEnd w:id="18"/>
      <w:r>
        <w:rPr/>
      </w:r>
      <w:r>
        <w:rPr>
          <w:color w:val="1C1F62"/>
        </w:rPr>
        <w:t>References,</w:t>
      </w:r>
      <w:r>
        <w:rPr>
          <w:color w:val="1C1F62"/>
          <w:spacing w:val="-9"/>
        </w:rPr>
        <w:t> </w:t>
      </w:r>
      <w:r>
        <w:rPr>
          <w:color w:val="1C1F62"/>
        </w:rPr>
        <w:t>acknowledgements</w:t>
      </w:r>
      <w:r>
        <w:rPr>
          <w:color w:val="1C1F62"/>
          <w:spacing w:val="-6"/>
        </w:rPr>
        <w:t> </w:t>
      </w:r>
      <w:r>
        <w:rPr>
          <w:color w:val="1C1F62"/>
        </w:rPr>
        <w:t>and</w:t>
      </w:r>
      <w:r>
        <w:rPr>
          <w:color w:val="1C1F62"/>
          <w:spacing w:val="-10"/>
        </w:rPr>
        <w:t> </w:t>
      </w:r>
      <w:r>
        <w:rPr>
          <w:color w:val="1C1F62"/>
        </w:rPr>
        <w:t>associated</w:t>
      </w:r>
      <w:r>
        <w:rPr>
          <w:color w:val="1C1F62"/>
          <w:spacing w:val="-6"/>
        </w:rPr>
        <w:t> </w:t>
      </w:r>
      <w:r>
        <w:rPr>
          <w:color w:val="1C1F62"/>
          <w:spacing w:val="-2"/>
        </w:rPr>
        <w:t>documents</w:t>
      </w:r>
    </w:p>
    <w:p>
      <w:pPr>
        <w:pStyle w:val="BodyText"/>
        <w:spacing w:before="93"/>
        <w:rPr>
          <w:rFonts w:ascii="Arial Black"/>
          <w:sz w:val="28"/>
        </w:rPr>
      </w:pPr>
    </w:p>
    <w:p>
      <w:pPr>
        <w:pStyle w:val="ListParagraph"/>
        <w:numPr>
          <w:ilvl w:val="0"/>
          <w:numId w:val="6"/>
        </w:numPr>
        <w:tabs>
          <w:tab w:pos="1240" w:val="left" w:leader="none"/>
        </w:tabs>
        <w:spacing w:line="240" w:lineRule="auto" w:before="0" w:after="0"/>
        <w:ind w:left="1240" w:right="0" w:hanging="720"/>
        <w:jc w:val="left"/>
        <w:rPr>
          <w:sz w:val="24"/>
        </w:rPr>
      </w:pPr>
      <w:r>
        <w:rPr>
          <w:sz w:val="24"/>
        </w:rPr>
        <w:t>NHS</w:t>
      </w:r>
      <w:r>
        <w:rPr>
          <w:spacing w:val="-5"/>
          <w:sz w:val="24"/>
        </w:rPr>
        <w:t> </w:t>
      </w:r>
      <w:r>
        <w:rPr>
          <w:sz w:val="24"/>
        </w:rPr>
        <w:t>Digital</w:t>
      </w:r>
      <w:r>
        <w:rPr>
          <w:spacing w:val="-4"/>
          <w:sz w:val="24"/>
        </w:rPr>
        <w:t> </w:t>
      </w:r>
      <w:r>
        <w:rPr>
          <w:sz w:val="24"/>
        </w:rPr>
        <w:t>Codes</w:t>
      </w:r>
      <w:r>
        <w:rPr>
          <w:spacing w:val="-8"/>
          <w:sz w:val="24"/>
        </w:rPr>
        <w:t> </w:t>
      </w:r>
      <w:r>
        <w:rPr>
          <w:sz w:val="24"/>
        </w:rPr>
        <w:t>of</w:t>
      </w:r>
      <w:r>
        <w:rPr>
          <w:spacing w:val="-7"/>
          <w:sz w:val="24"/>
        </w:rPr>
        <w:t> </w:t>
      </w:r>
      <w:r>
        <w:rPr>
          <w:spacing w:val="-2"/>
          <w:sz w:val="24"/>
        </w:rPr>
        <w:t>Practice</w:t>
      </w:r>
    </w:p>
    <w:p>
      <w:pPr>
        <w:pStyle w:val="BodyText"/>
        <w:spacing w:before="183"/>
        <w:ind w:left="520"/>
      </w:pPr>
      <w:hyperlink r:id="rId12">
        <w:r>
          <w:rPr>
            <w:color w:val="075EDB"/>
            <w:spacing w:val="-2"/>
            <w:u w:val="single" w:color="075EDB"/>
          </w:rPr>
          <w:t>https://digital.nhs.uk/codes-of-practice-handling-information/confidential-information</w:t>
        </w:r>
      </w:hyperlink>
    </w:p>
    <w:p>
      <w:pPr>
        <w:pStyle w:val="BodyText"/>
      </w:pPr>
    </w:p>
    <w:p>
      <w:pPr>
        <w:pStyle w:val="BodyText"/>
        <w:spacing w:before="86"/>
      </w:pPr>
    </w:p>
    <w:p>
      <w:pPr>
        <w:pStyle w:val="ListParagraph"/>
        <w:numPr>
          <w:ilvl w:val="0"/>
          <w:numId w:val="6"/>
        </w:numPr>
        <w:tabs>
          <w:tab w:pos="1240" w:val="left" w:leader="none"/>
        </w:tabs>
        <w:spacing w:line="398" w:lineRule="auto" w:before="0" w:after="0"/>
        <w:ind w:left="520" w:right="1671" w:firstLine="0"/>
        <w:jc w:val="left"/>
        <w:rPr>
          <w:sz w:val="24"/>
        </w:rPr>
      </w:pPr>
      <w:r>
        <w:rPr>
          <w:sz w:val="24"/>
        </w:rPr>
        <w:t>Department of Health Code of Practice </w:t>
      </w:r>
      <w:hyperlink r:id="rId13">
        <w:r>
          <w:rPr>
            <w:color w:val="075EDB"/>
            <w:spacing w:val="-2"/>
            <w:sz w:val="24"/>
            <w:u w:val="single" w:color="075EDB"/>
          </w:rPr>
          <w:t>https://www.gov.uk/government/publications/confidentiality-nhs-code-of-practice</w:t>
        </w:r>
      </w:hyperlink>
    </w:p>
    <w:p>
      <w:pPr>
        <w:pStyle w:val="ListParagraph"/>
        <w:numPr>
          <w:ilvl w:val="0"/>
          <w:numId w:val="6"/>
        </w:numPr>
        <w:tabs>
          <w:tab w:pos="1240" w:val="left" w:leader="none"/>
        </w:tabs>
        <w:spacing w:line="398" w:lineRule="auto" w:before="1" w:after="0"/>
        <w:ind w:left="520" w:right="3572" w:firstLine="0"/>
        <w:jc w:val="left"/>
        <w:rPr>
          <w:sz w:val="24"/>
        </w:rPr>
      </w:pPr>
      <w:r>
        <w:rPr>
          <w:sz w:val="24"/>
        </w:rPr>
        <w:t>Health and Social Care (Safety and Quality) Act 2015 </w:t>
      </w:r>
      <w:hyperlink r:id="rId14">
        <w:r>
          <w:rPr>
            <w:color w:val="075EDB"/>
            <w:spacing w:val="-2"/>
            <w:sz w:val="24"/>
            <w:u w:val="single" w:color="075EDB"/>
          </w:rPr>
          <w:t>http://www.legislation.gov.uk/ukpga/2015/28/contents/enacted</w:t>
        </w:r>
      </w:hyperlink>
    </w:p>
    <w:p>
      <w:pPr>
        <w:pStyle w:val="ListParagraph"/>
        <w:numPr>
          <w:ilvl w:val="0"/>
          <w:numId w:val="6"/>
        </w:numPr>
        <w:tabs>
          <w:tab w:pos="1307" w:val="left" w:leader="none"/>
        </w:tabs>
        <w:spacing w:line="398" w:lineRule="auto" w:before="0" w:after="0"/>
        <w:ind w:left="520" w:right="3714" w:firstLine="0"/>
        <w:jc w:val="left"/>
        <w:rPr>
          <w:sz w:val="24"/>
        </w:rPr>
      </w:pPr>
      <w:r>
        <w:rPr>
          <w:sz w:val="24"/>
        </w:rPr>
        <w:t>NHS England Policy </w:t>
      </w:r>
      <w:hyperlink r:id="rId15">
        <w:r>
          <w:rPr>
            <w:color w:val="075EDB"/>
            <w:spacing w:val="-2"/>
            <w:sz w:val="24"/>
            <w:u w:val="single" w:color="075EDB"/>
          </w:rPr>
          <w:t>https://www.england.nhs.uk/publication/confidentiality-policy/</w:t>
        </w:r>
      </w:hyperlink>
    </w:p>
    <w:p>
      <w:pPr>
        <w:pStyle w:val="ListParagraph"/>
        <w:numPr>
          <w:ilvl w:val="0"/>
          <w:numId w:val="6"/>
        </w:numPr>
        <w:tabs>
          <w:tab w:pos="1240" w:val="left" w:leader="none"/>
        </w:tabs>
        <w:spacing w:line="259" w:lineRule="auto" w:before="0" w:after="0"/>
        <w:ind w:left="520" w:right="400" w:firstLine="0"/>
        <w:jc w:val="left"/>
        <w:rPr>
          <w:sz w:val="24"/>
        </w:rPr>
      </w:pPr>
      <w:r>
        <w:rPr>
          <w:sz w:val="24"/>
        </w:rPr>
        <w:t>All</w:t>
      </w:r>
      <w:r>
        <w:rPr>
          <w:spacing w:val="-10"/>
          <w:sz w:val="24"/>
        </w:rPr>
        <w:t> </w:t>
      </w:r>
      <w:r>
        <w:rPr>
          <w:sz w:val="24"/>
        </w:rPr>
        <w:t>the</w:t>
      </w:r>
      <w:r>
        <w:rPr>
          <w:spacing w:val="-10"/>
          <w:sz w:val="24"/>
        </w:rPr>
        <w:t> </w:t>
      </w:r>
      <w:r>
        <w:rPr>
          <w:sz w:val="24"/>
        </w:rPr>
        <w:t>Policies,</w:t>
      </w:r>
      <w:r>
        <w:rPr>
          <w:spacing w:val="-10"/>
          <w:sz w:val="24"/>
        </w:rPr>
        <w:t> </w:t>
      </w:r>
      <w:r>
        <w:rPr>
          <w:sz w:val="24"/>
        </w:rPr>
        <w:t>procedures</w:t>
      </w:r>
      <w:r>
        <w:rPr>
          <w:spacing w:val="-9"/>
          <w:sz w:val="24"/>
        </w:rPr>
        <w:t> </w:t>
      </w:r>
      <w:r>
        <w:rPr>
          <w:sz w:val="24"/>
        </w:rPr>
        <w:t>and</w:t>
      </w:r>
      <w:r>
        <w:rPr>
          <w:spacing w:val="-10"/>
          <w:sz w:val="24"/>
        </w:rPr>
        <w:t> </w:t>
      </w:r>
      <w:r>
        <w:rPr>
          <w:sz w:val="24"/>
        </w:rPr>
        <w:t>guidance</w:t>
      </w:r>
      <w:r>
        <w:rPr>
          <w:spacing w:val="-10"/>
          <w:sz w:val="24"/>
        </w:rPr>
        <w:t> </w:t>
      </w:r>
      <w:r>
        <w:rPr>
          <w:sz w:val="24"/>
        </w:rPr>
        <w:t>relating</w:t>
      </w:r>
      <w:r>
        <w:rPr>
          <w:spacing w:val="-8"/>
          <w:sz w:val="24"/>
        </w:rPr>
        <w:t> </w:t>
      </w:r>
      <w:r>
        <w:rPr>
          <w:sz w:val="24"/>
        </w:rPr>
        <w:t>to</w:t>
      </w:r>
      <w:r>
        <w:rPr>
          <w:spacing w:val="-8"/>
          <w:sz w:val="24"/>
        </w:rPr>
        <w:t> </w:t>
      </w:r>
      <w:r>
        <w:rPr>
          <w:sz w:val="24"/>
        </w:rPr>
        <w:t>the</w:t>
      </w:r>
      <w:r>
        <w:rPr>
          <w:spacing w:val="-10"/>
          <w:sz w:val="24"/>
        </w:rPr>
        <w:t> </w:t>
      </w:r>
      <w:r>
        <w:rPr>
          <w:sz w:val="24"/>
        </w:rPr>
        <w:t>management</w:t>
      </w:r>
      <w:r>
        <w:rPr>
          <w:spacing w:val="-8"/>
          <w:sz w:val="24"/>
        </w:rPr>
        <w:t> </w:t>
      </w:r>
      <w:r>
        <w:rPr>
          <w:sz w:val="24"/>
        </w:rPr>
        <w:t>and</w:t>
      </w:r>
      <w:r>
        <w:rPr>
          <w:spacing w:val="-8"/>
          <w:sz w:val="24"/>
        </w:rPr>
        <w:t> </w:t>
      </w:r>
      <w:r>
        <w:rPr>
          <w:sz w:val="24"/>
        </w:rPr>
        <w:t>processing of information within the organisation including:</w:t>
      </w:r>
    </w:p>
    <w:p>
      <w:pPr>
        <w:pStyle w:val="ListParagraph"/>
        <w:numPr>
          <w:ilvl w:val="0"/>
          <w:numId w:val="7"/>
        </w:numPr>
        <w:tabs>
          <w:tab w:pos="1240" w:val="left" w:leader="none"/>
        </w:tabs>
        <w:spacing w:line="240" w:lineRule="auto" w:before="159" w:after="0"/>
        <w:ind w:left="1240" w:right="0" w:hanging="720"/>
        <w:jc w:val="left"/>
        <w:rPr>
          <w:sz w:val="24"/>
        </w:rPr>
      </w:pPr>
      <w:r>
        <w:rPr>
          <w:sz w:val="24"/>
        </w:rPr>
        <w:t>Records</w:t>
      </w:r>
      <w:r>
        <w:rPr>
          <w:spacing w:val="-5"/>
          <w:sz w:val="24"/>
        </w:rPr>
        <w:t> </w:t>
      </w:r>
      <w:r>
        <w:rPr>
          <w:sz w:val="24"/>
        </w:rPr>
        <w:t>Management</w:t>
      </w:r>
      <w:r>
        <w:rPr>
          <w:spacing w:val="-5"/>
          <w:sz w:val="24"/>
        </w:rPr>
        <w:t> </w:t>
      </w:r>
      <w:r>
        <w:rPr>
          <w:spacing w:val="-2"/>
          <w:sz w:val="24"/>
        </w:rPr>
        <w:t>Policy</w:t>
      </w:r>
    </w:p>
    <w:p>
      <w:pPr>
        <w:pStyle w:val="ListParagraph"/>
        <w:numPr>
          <w:ilvl w:val="0"/>
          <w:numId w:val="7"/>
        </w:numPr>
        <w:tabs>
          <w:tab w:pos="1240" w:val="left" w:leader="none"/>
        </w:tabs>
        <w:spacing w:line="240" w:lineRule="auto" w:before="182" w:after="0"/>
        <w:ind w:left="1240" w:right="0" w:hanging="720"/>
        <w:jc w:val="left"/>
        <w:rPr>
          <w:sz w:val="24"/>
        </w:rPr>
      </w:pPr>
      <w:r>
        <w:rPr>
          <w:sz w:val="24"/>
        </w:rPr>
        <w:t>Freedom</w:t>
      </w:r>
      <w:r>
        <w:rPr>
          <w:spacing w:val="-3"/>
          <w:sz w:val="24"/>
        </w:rPr>
        <w:t> </w:t>
      </w:r>
      <w:r>
        <w:rPr>
          <w:sz w:val="24"/>
        </w:rPr>
        <w:t>of</w:t>
      </w:r>
      <w:r>
        <w:rPr>
          <w:spacing w:val="-4"/>
          <w:sz w:val="24"/>
        </w:rPr>
        <w:t> </w:t>
      </w:r>
      <w:r>
        <w:rPr>
          <w:sz w:val="24"/>
        </w:rPr>
        <w:t>Information</w:t>
      </w:r>
      <w:r>
        <w:rPr>
          <w:spacing w:val="-3"/>
          <w:sz w:val="24"/>
        </w:rPr>
        <w:t> </w:t>
      </w:r>
      <w:r>
        <w:rPr>
          <w:sz w:val="24"/>
        </w:rPr>
        <w:t>and</w:t>
      </w:r>
      <w:r>
        <w:rPr>
          <w:spacing w:val="-4"/>
          <w:sz w:val="24"/>
        </w:rPr>
        <w:t> </w:t>
      </w:r>
      <w:r>
        <w:rPr>
          <w:sz w:val="24"/>
        </w:rPr>
        <w:t>SARs</w:t>
      </w:r>
      <w:r>
        <w:rPr>
          <w:spacing w:val="-3"/>
          <w:sz w:val="24"/>
        </w:rPr>
        <w:t> </w:t>
      </w:r>
      <w:r>
        <w:rPr>
          <w:spacing w:val="-2"/>
          <w:sz w:val="24"/>
        </w:rPr>
        <w:t>Policy</w:t>
      </w:r>
    </w:p>
    <w:p>
      <w:pPr>
        <w:pStyle w:val="ListParagraph"/>
        <w:numPr>
          <w:ilvl w:val="0"/>
          <w:numId w:val="7"/>
        </w:numPr>
        <w:tabs>
          <w:tab w:pos="1240" w:val="left" w:leader="none"/>
        </w:tabs>
        <w:spacing w:line="240" w:lineRule="auto" w:before="180" w:after="0"/>
        <w:ind w:left="1240" w:right="0" w:hanging="720"/>
        <w:jc w:val="left"/>
        <w:rPr>
          <w:sz w:val="24"/>
        </w:rPr>
      </w:pPr>
      <w:r>
        <w:rPr>
          <w:sz w:val="24"/>
        </w:rPr>
        <w:t>Confidentiality</w:t>
      </w:r>
      <w:r>
        <w:rPr>
          <w:spacing w:val="-6"/>
          <w:sz w:val="24"/>
        </w:rPr>
        <w:t> </w:t>
      </w:r>
      <w:r>
        <w:rPr>
          <w:sz w:val="24"/>
        </w:rPr>
        <w:t>and</w:t>
      </w:r>
      <w:r>
        <w:rPr>
          <w:spacing w:val="-7"/>
          <w:sz w:val="24"/>
        </w:rPr>
        <w:t> </w:t>
      </w:r>
      <w:r>
        <w:rPr>
          <w:sz w:val="24"/>
        </w:rPr>
        <w:t>Security</w:t>
      </w:r>
      <w:r>
        <w:rPr>
          <w:spacing w:val="-5"/>
          <w:sz w:val="24"/>
        </w:rPr>
        <w:t> </w:t>
      </w:r>
      <w:r>
        <w:rPr>
          <w:sz w:val="24"/>
        </w:rPr>
        <w:t>of</w:t>
      </w:r>
      <w:r>
        <w:rPr>
          <w:spacing w:val="-5"/>
          <w:sz w:val="24"/>
        </w:rPr>
        <w:t> </w:t>
      </w:r>
      <w:r>
        <w:rPr>
          <w:sz w:val="24"/>
        </w:rPr>
        <w:t>Information</w:t>
      </w:r>
      <w:r>
        <w:rPr>
          <w:spacing w:val="-5"/>
          <w:sz w:val="24"/>
        </w:rPr>
        <w:t> </w:t>
      </w:r>
      <w:r>
        <w:rPr>
          <w:spacing w:val="-2"/>
          <w:sz w:val="24"/>
        </w:rPr>
        <w:t>Policy</w:t>
      </w:r>
    </w:p>
    <w:p>
      <w:pPr>
        <w:pStyle w:val="ListParagraph"/>
        <w:numPr>
          <w:ilvl w:val="0"/>
          <w:numId w:val="7"/>
        </w:numPr>
        <w:tabs>
          <w:tab w:pos="1240" w:val="left" w:leader="none"/>
        </w:tabs>
        <w:spacing w:line="240" w:lineRule="auto" w:before="183" w:after="0"/>
        <w:ind w:left="1240" w:right="0" w:hanging="720"/>
        <w:jc w:val="left"/>
        <w:rPr>
          <w:sz w:val="24"/>
        </w:rPr>
      </w:pPr>
      <w:r>
        <w:rPr>
          <w:sz w:val="24"/>
        </w:rPr>
        <w:t>Incident</w:t>
      </w:r>
      <w:r>
        <w:rPr>
          <w:spacing w:val="-6"/>
          <w:sz w:val="24"/>
        </w:rPr>
        <w:t> </w:t>
      </w:r>
      <w:r>
        <w:rPr>
          <w:sz w:val="24"/>
        </w:rPr>
        <w:t>Reporting</w:t>
      </w:r>
      <w:r>
        <w:rPr>
          <w:spacing w:val="-6"/>
          <w:sz w:val="24"/>
        </w:rPr>
        <w:t> </w:t>
      </w:r>
      <w:r>
        <w:rPr>
          <w:spacing w:val="-2"/>
          <w:sz w:val="24"/>
        </w:rPr>
        <w:t>Policy</w:t>
      </w:r>
    </w:p>
    <w:p>
      <w:pPr>
        <w:pStyle w:val="ListParagraph"/>
        <w:numPr>
          <w:ilvl w:val="0"/>
          <w:numId w:val="6"/>
        </w:numPr>
        <w:tabs>
          <w:tab w:pos="1240" w:val="left" w:leader="none"/>
        </w:tabs>
        <w:spacing w:line="240" w:lineRule="auto" w:before="183" w:after="0"/>
        <w:ind w:left="1240" w:right="0" w:hanging="720"/>
        <w:jc w:val="left"/>
        <w:rPr>
          <w:sz w:val="24"/>
        </w:rPr>
      </w:pPr>
      <w:r>
        <w:rPr>
          <w:sz w:val="24"/>
        </w:rPr>
        <w:t>Data</w:t>
      </w:r>
      <w:r>
        <w:rPr>
          <w:spacing w:val="-5"/>
          <w:sz w:val="24"/>
        </w:rPr>
        <w:t> </w:t>
      </w:r>
      <w:r>
        <w:rPr>
          <w:sz w:val="24"/>
        </w:rPr>
        <w:t>Protection</w:t>
      </w:r>
      <w:r>
        <w:rPr>
          <w:spacing w:val="-4"/>
          <w:sz w:val="24"/>
        </w:rPr>
        <w:t> </w:t>
      </w:r>
      <w:r>
        <w:rPr>
          <w:sz w:val="24"/>
        </w:rPr>
        <w:t>Act</w:t>
      </w:r>
      <w:r>
        <w:rPr>
          <w:spacing w:val="-6"/>
          <w:sz w:val="24"/>
        </w:rPr>
        <w:t> </w:t>
      </w:r>
      <w:r>
        <w:rPr>
          <w:spacing w:val="-4"/>
          <w:sz w:val="24"/>
        </w:rPr>
        <w:t>2018</w:t>
      </w:r>
    </w:p>
    <w:p>
      <w:pPr>
        <w:pStyle w:val="ListParagraph"/>
        <w:numPr>
          <w:ilvl w:val="0"/>
          <w:numId w:val="6"/>
        </w:numPr>
        <w:tabs>
          <w:tab w:pos="1240" w:val="left" w:leader="none"/>
        </w:tabs>
        <w:spacing w:line="240" w:lineRule="auto" w:before="182" w:after="0"/>
        <w:ind w:left="1240" w:right="0" w:hanging="720"/>
        <w:jc w:val="left"/>
        <w:rPr>
          <w:sz w:val="24"/>
        </w:rPr>
      </w:pPr>
      <w:r>
        <w:rPr>
          <w:sz w:val="24"/>
        </w:rPr>
        <w:t>UK</w:t>
      </w:r>
      <w:r>
        <w:rPr>
          <w:spacing w:val="-4"/>
          <w:sz w:val="24"/>
        </w:rPr>
        <w:t> </w:t>
      </w:r>
      <w:r>
        <w:rPr>
          <w:sz w:val="24"/>
        </w:rPr>
        <w:t>General</w:t>
      </w:r>
      <w:r>
        <w:rPr>
          <w:spacing w:val="-4"/>
          <w:sz w:val="24"/>
        </w:rPr>
        <w:t> </w:t>
      </w:r>
      <w:r>
        <w:rPr>
          <w:sz w:val="24"/>
        </w:rPr>
        <w:t>Data</w:t>
      </w:r>
      <w:r>
        <w:rPr>
          <w:spacing w:val="-6"/>
          <w:sz w:val="24"/>
        </w:rPr>
        <w:t> </w:t>
      </w:r>
      <w:r>
        <w:rPr>
          <w:sz w:val="24"/>
        </w:rPr>
        <w:t>Protection</w:t>
      </w:r>
      <w:r>
        <w:rPr>
          <w:spacing w:val="-4"/>
          <w:sz w:val="24"/>
        </w:rPr>
        <w:t> </w:t>
      </w:r>
      <w:r>
        <w:rPr>
          <w:spacing w:val="-2"/>
          <w:sz w:val="24"/>
        </w:rPr>
        <w:t>Regulation</w:t>
      </w:r>
    </w:p>
    <w:p>
      <w:pPr>
        <w:pStyle w:val="Heading2"/>
        <w:numPr>
          <w:ilvl w:val="0"/>
          <w:numId w:val="2"/>
        </w:numPr>
        <w:tabs>
          <w:tab w:pos="969" w:val="left" w:leader="none"/>
        </w:tabs>
        <w:spacing w:line="240" w:lineRule="auto" w:before="260" w:after="0"/>
        <w:ind w:left="969" w:right="0" w:hanging="449"/>
        <w:jc w:val="left"/>
      </w:pPr>
      <w:bookmarkStart w:name="_bookmark18" w:id="19"/>
      <w:bookmarkEnd w:id="19"/>
      <w:r>
        <w:rPr/>
      </w:r>
      <w:r>
        <w:rPr>
          <w:color w:val="1C1F62"/>
          <w:spacing w:val="-2"/>
        </w:rPr>
        <w:t>Appendices</w:t>
      </w:r>
    </w:p>
    <w:p>
      <w:pPr>
        <w:pStyle w:val="BodyText"/>
        <w:spacing w:before="197"/>
        <w:rPr>
          <w:rFonts w:ascii="Arial Black"/>
          <w:sz w:val="28"/>
        </w:rPr>
      </w:pPr>
    </w:p>
    <w:p>
      <w:pPr>
        <w:pStyle w:val="Heading3"/>
        <w:numPr>
          <w:ilvl w:val="1"/>
          <w:numId w:val="2"/>
        </w:numPr>
        <w:tabs>
          <w:tab w:pos="1237" w:val="left" w:leader="none"/>
        </w:tabs>
        <w:spacing w:line="240" w:lineRule="auto" w:before="0" w:after="0"/>
        <w:ind w:left="1237" w:right="0" w:hanging="717"/>
        <w:jc w:val="left"/>
      </w:pPr>
      <w:bookmarkStart w:name="_bookmark19" w:id="20"/>
      <w:bookmarkEnd w:id="20"/>
      <w:r>
        <w:rPr/>
      </w:r>
      <w:r>
        <w:rPr>
          <w:color w:val="1C1F62"/>
        </w:rPr>
        <w:t>Equality</w:t>
      </w:r>
      <w:r>
        <w:rPr>
          <w:color w:val="1C1F62"/>
          <w:spacing w:val="-10"/>
        </w:rPr>
        <w:t> </w:t>
      </w:r>
      <w:r>
        <w:rPr>
          <w:color w:val="1C1F62"/>
        </w:rPr>
        <w:t>Impact</w:t>
      </w:r>
      <w:r>
        <w:rPr>
          <w:color w:val="1C1F62"/>
          <w:spacing w:val="-9"/>
        </w:rPr>
        <w:t> </w:t>
      </w:r>
      <w:r>
        <w:rPr>
          <w:color w:val="1C1F62"/>
          <w:spacing w:val="-2"/>
        </w:rPr>
        <w:t>Assessment</w:t>
      </w:r>
    </w:p>
    <w:p>
      <w:pPr>
        <w:spacing w:after="0" w:line="240" w:lineRule="auto"/>
        <w:jc w:val="left"/>
        <w:sectPr>
          <w:pgSz w:w="11910" w:h="16840"/>
          <w:pgMar w:header="570" w:footer="1032" w:top="1200" w:bottom="1220" w:left="560" w:right="680"/>
        </w:sectPr>
      </w:pPr>
    </w:p>
    <w:p>
      <w:pPr>
        <w:pStyle w:val="BodyText"/>
        <w:spacing w:before="230" w:after="1"/>
        <w:rPr>
          <w:rFonts w:ascii="Arial Black"/>
          <w:sz w:val="20"/>
        </w:rPr>
      </w:pPr>
    </w:p>
    <w:p>
      <w:pPr>
        <w:pStyle w:val="BodyText"/>
        <w:ind w:left="1104"/>
        <w:rPr>
          <w:rFonts w:ascii="Arial Black"/>
          <w:sz w:val="20"/>
        </w:rPr>
      </w:pPr>
      <w:r>
        <w:rPr>
          <w:rFonts w:ascii="Arial Black"/>
          <w:sz w:val="20"/>
        </w:rPr>
        <w:drawing>
          <wp:inline distT="0" distB="0" distL="0" distR="0">
            <wp:extent cx="228768" cy="27346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28768" cy="273462"/>
                    </a:xfrm>
                    <a:prstGeom prst="rect">
                      <a:avLst/>
                    </a:prstGeom>
                  </pic:spPr>
                </pic:pic>
              </a:graphicData>
            </a:graphic>
          </wp:inline>
        </w:drawing>
      </w:r>
      <w:r>
        <w:rPr>
          <w:rFonts w:ascii="Arial Black"/>
          <w:sz w:val="20"/>
        </w:rPr>
      </w:r>
    </w:p>
    <w:p>
      <w:pPr>
        <w:spacing w:line="218" w:lineRule="auto" w:before="48"/>
        <w:ind w:left="910" w:right="8380" w:hanging="45"/>
        <w:jc w:val="left"/>
        <w:rPr>
          <w:rFonts w:ascii="Segoe UI"/>
          <w:sz w:val="16"/>
        </w:rPr>
      </w:pPr>
      <w:r>
        <w:rPr>
          <w:rFonts w:ascii="Segoe UI"/>
          <w:sz w:val="16"/>
        </w:rPr>
        <w:t>EHIA for </w:t>
      </w:r>
      <w:r>
        <w:rPr>
          <w:rFonts w:ascii="Segoe UI"/>
          <w:sz w:val="16"/>
        </w:rPr>
        <w:t>IG </w:t>
      </w:r>
      <w:r>
        <w:rPr>
          <w:rFonts w:ascii="Segoe UI"/>
          <w:spacing w:val="-2"/>
          <w:sz w:val="16"/>
        </w:rPr>
        <w:t>Policy.pdf</w:t>
      </w:r>
    </w:p>
    <w:p>
      <w:pPr>
        <w:pStyle w:val="BodyText"/>
        <w:spacing w:before="60"/>
        <w:rPr>
          <w:rFonts w:ascii="Segoe UI"/>
          <w:sz w:val="16"/>
        </w:rPr>
      </w:pPr>
    </w:p>
    <w:p>
      <w:pPr>
        <w:pStyle w:val="Heading3"/>
        <w:numPr>
          <w:ilvl w:val="1"/>
          <w:numId w:val="2"/>
        </w:numPr>
        <w:tabs>
          <w:tab w:pos="1237" w:val="left" w:leader="none"/>
        </w:tabs>
        <w:spacing w:line="240" w:lineRule="auto" w:before="1" w:after="0"/>
        <w:ind w:left="1237" w:right="0" w:hanging="717"/>
        <w:jc w:val="left"/>
      </w:pPr>
      <w:bookmarkStart w:name="_bookmark20" w:id="21"/>
      <w:bookmarkEnd w:id="21"/>
      <w:r>
        <w:rPr/>
      </w:r>
      <w:r>
        <w:rPr>
          <w:color w:val="1C1F62"/>
        </w:rPr>
        <w:t>Implementation</w:t>
      </w:r>
      <w:r>
        <w:rPr>
          <w:color w:val="1C1F62"/>
          <w:spacing w:val="-18"/>
        </w:rPr>
        <w:t> </w:t>
      </w:r>
      <w:r>
        <w:rPr>
          <w:color w:val="1C1F62"/>
          <w:spacing w:val="-4"/>
        </w:rPr>
        <w:t>Plan</w:t>
      </w:r>
    </w:p>
    <w:p>
      <w:pPr>
        <w:pStyle w:val="BodyText"/>
        <w:spacing w:before="45"/>
        <w:rPr>
          <w:rFonts w:ascii="Arial Black"/>
          <w:sz w:val="20"/>
        </w:rPr>
      </w:pPr>
    </w:p>
    <w:tbl>
      <w:tblPr>
        <w:tblW w:w="0" w:type="auto"/>
        <w:jc w:val="left"/>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3"/>
        <w:gridCol w:w="1729"/>
        <w:gridCol w:w="3238"/>
        <w:gridCol w:w="708"/>
        <w:gridCol w:w="850"/>
        <w:gridCol w:w="852"/>
        <w:gridCol w:w="1416"/>
      </w:tblGrid>
      <w:tr>
        <w:trPr>
          <w:trHeight w:val="738" w:hRule="atLeast"/>
        </w:trPr>
        <w:tc>
          <w:tcPr>
            <w:tcW w:w="843" w:type="dxa"/>
            <w:shd w:val="clear" w:color="auto" w:fill="1C1F62"/>
          </w:tcPr>
          <w:p>
            <w:pPr>
              <w:pStyle w:val="TableParagraph"/>
              <w:ind w:right="105"/>
              <w:rPr>
                <w:rFonts w:ascii="Arial"/>
                <w:b/>
                <w:sz w:val="20"/>
              </w:rPr>
            </w:pPr>
            <w:r>
              <w:rPr>
                <w:rFonts w:ascii="Arial"/>
                <w:b/>
                <w:color w:val="FFFFFF"/>
                <w:spacing w:val="-2"/>
                <w:sz w:val="20"/>
              </w:rPr>
              <w:t>Target </w:t>
            </w:r>
            <w:r>
              <w:rPr>
                <w:rFonts w:ascii="Arial"/>
                <w:b/>
                <w:color w:val="FFFFFF"/>
                <w:spacing w:val="-4"/>
                <w:sz w:val="20"/>
              </w:rPr>
              <w:t>Group</w:t>
            </w:r>
          </w:p>
        </w:tc>
        <w:tc>
          <w:tcPr>
            <w:tcW w:w="1729" w:type="dxa"/>
            <w:shd w:val="clear" w:color="auto" w:fill="1C1F62"/>
          </w:tcPr>
          <w:p>
            <w:pPr>
              <w:pStyle w:val="TableParagraph"/>
              <w:ind w:left="107"/>
              <w:rPr>
                <w:rFonts w:ascii="Arial"/>
                <w:b/>
                <w:sz w:val="20"/>
              </w:rPr>
            </w:pPr>
            <w:r>
              <w:rPr>
                <w:rFonts w:ascii="Arial"/>
                <w:b/>
                <w:color w:val="FFFFFF"/>
                <w:spacing w:val="-2"/>
                <w:sz w:val="20"/>
              </w:rPr>
              <w:t>Implementation </w:t>
            </w:r>
            <w:r>
              <w:rPr>
                <w:rFonts w:ascii="Arial"/>
                <w:b/>
                <w:color w:val="FFFFFF"/>
                <w:sz w:val="20"/>
              </w:rPr>
              <w:t>or Training </w:t>
            </w:r>
            <w:r>
              <w:rPr>
                <w:rFonts w:ascii="Arial"/>
                <w:b/>
                <w:color w:val="FFFFFF"/>
                <w:spacing w:val="-2"/>
                <w:sz w:val="20"/>
              </w:rPr>
              <w:t>objective</w:t>
            </w:r>
          </w:p>
        </w:tc>
        <w:tc>
          <w:tcPr>
            <w:tcW w:w="3238" w:type="dxa"/>
            <w:shd w:val="clear" w:color="auto" w:fill="1C1F62"/>
          </w:tcPr>
          <w:p>
            <w:pPr>
              <w:pStyle w:val="TableParagraph"/>
              <w:spacing w:line="229" w:lineRule="exact"/>
              <w:ind w:left="107"/>
              <w:rPr>
                <w:rFonts w:ascii="Arial"/>
                <w:b/>
                <w:sz w:val="20"/>
              </w:rPr>
            </w:pPr>
            <w:r>
              <w:rPr>
                <w:rFonts w:ascii="Arial"/>
                <w:b/>
                <w:color w:val="FFFFFF"/>
                <w:spacing w:val="-2"/>
                <w:sz w:val="20"/>
              </w:rPr>
              <w:t>Method</w:t>
            </w:r>
          </w:p>
        </w:tc>
        <w:tc>
          <w:tcPr>
            <w:tcW w:w="708" w:type="dxa"/>
            <w:shd w:val="clear" w:color="auto" w:fill="1C1F62"/>
          </w:tcPr>
          <w:p>
            <w:pPr>
              <w:pStyle w:val="TableParagraph"/>
              <w:spacing w:line="229" w:lineRule="exact"/>
              <w:ind w:left="107"/>
              <w:rPr>
                <w:rFonts w:ascii="Arial"/>
                <w:b/>
                <w:sz w:val="20"/>
              </w:rPr>
            </w:pPr>
            <w:r>
              <w:rPr>
                <w:rFonts w:ascii="Arial"/>
                <w:b/>
                <w:color w:val="FFFFFF"/>
                <w:spacing w:val="-4"/>
                <w:sz w:val="20"/>
              </w:rPr>
              <w:t>Lead</w:t>
            </w:r>
          </w:p>
        </w:tc>
        <w:tc>
          <w:tcPr>
            <w:tcW w:w="850" w:type="dxa"/>
            <w:shd w:val="clear" w:color="auto" w:fill="1C1F62"/>
          </w:tcPr>
          <w:p>
            <w:pPr>
              <w:pStyle w:val="TableParagraph"/>
              <w:ind w:left="107" w:right="113"/>
              <w:rPr>
                <w:rFonts w:ascii="Arial"/>
                <w:b/>
                <w:sz w:val="20"/>
              </w:rPr>
            </w:pPr>
            <w:r>
              <w:rPr>
                <w:rFonts w:ascii="Arial"/>
                <w:b/>
                <w:color w:val="FFFFFF"/>
                <w:spacing w:val="-2"/>
                <w:sz w:val="20"/>
              </w:rPr>
              <w:t>Target start </w:t>
            </w:r>
            <w:r>
              <w:rPr>
                <w:rFonts w:ascii="Arial"/>
                <w:b/>
                <w:color w:val="FFFFFF"/>
                <w:spacing w:val="-4"/>
                <w:sz w:val="20"/>
              </w:rPr>
              <w:t>date</w:t>
            </w:r>
          </w:p>
        </w:tc>
        <w:tc>
          <w:tcPr>
            <w:tcW w:w="852" w:type="dxa"/>
            <w:shd w:val="clear" w:color="auto" w:fill="1C1F62"/>
          </w:tcPr>
          <w:p>
            <w:pPr>
              <w:pStyle w:val="TableParagraph"/>
              <w:ind w:left="107" w:right="115"/>
              <w:rPr>
                <w:rFonts w:ascii="Arial"/>
                <w:b/>
                <w:sz w:val="20"/>
              </w:rPr>
            </w:pPr>
            <w:r>
              <w:rPr>
                <w:rFonts w:ascii="Arial"/>
                <w:b/>
                <w:color w:val="FFFFFF"/>
                <w:spacing w:val="-2"/>
                <w:sz w:val="20"/>
              </w:rPr>
              <w:t>Target </w:t>
            </w:r>
            <w:r>
              <w:rPr>
                <w:rFonts w:ascii="Arial"/>
                <w:b/>
                <w:color w:val="FFFFFF"/>
                <w:spacing w:val="-4"/>
                <w:sz w:val="20"/>
              </w:rPr>
              <w:t>End date</w:t>
            </w:r>
          </w:p>
        </w:tc>
        <w:tc>
          <w:tcPr>
            <w:tcW w:w="1416" w:type="dxa"/>
            <w:shd w:val="clear" w:color="auto" w:fill="1C1F62"/>
          </w:tcPr>
          <w:p>
            <w:pPr>
              <w:pStyle w:val="TableParagraph"/>
              <w:ind w:left="107" w:right="274"/>
              <w:rPr>
                <w:rFonts w:ascii="Arial"/>
                <w:b/>
                <w:sz w:val="20"/>
              </w:rPr>
            </w:pPr>
            <w:r>
              <w:rPr>
                <w:rFonts w:ascii="Arial"/>
                <w:b/>
                <w:color w:val="FFFFFF"/>
                <w:spacing w:val="-2"/>
                <w:sz w:val="20"/>
              </w:rPr>
              <w:t>Resources Required</w:t>
            </w:r>
          </w:p>
        </w:tc>
      </w:tr>
      <w:tr>
        <w:trPr>
          <w:trHeight w:val="458" w:hRule="atLeast"/>
        </w:trPr>
        <w:tc>
          <w:tcPr>
            <w:tcW w:w="843" w:type="dxa"/>
          </w:tcPr>
          <w:p>
            <w:pPr>
              <w:pStyle w:val="TableParagraph"/>
              <w:spacing w:line="206" w:lineRule="exact"/>
              <w:rPr>
                <w:sz w:val="18"/>
              </w:rPr>
            </w:pPr>
            <w:r>
              <w:rPr>
                <w:spacing w:val="-2"/>
                <w:sz w:val="18"/>
              </w:rPr>
              <w:t>Staff</w:t>
            </w:r>
          </w:p>
        </w:tc>
        <w:tc>
          <w:tcPr>
            <w:tcW w:w="1729" w:type="dxa"/>
          </w:tcPr>
          <w:p>
            <w:pPr>
              <w:pStyle w:val="TableParagraph"/>
              <w:ind w:left="107"/>
              <w:rPr>
                <w:sz w:val="18"/>
              </w:rPr>
            </w:pPr>
            <w:r>
              <w:rPr>
                <w:sz w:val="18"/>
              </w:rPr>
              <w:t>To have Policy available</w:t>
            </w:r>
            <w:r>
              <w:rPr>
                <w:spacing w:val="-15"/>
                <w:sz w:val="18"/>
              </w:rPr>
              <w:t> </w:t>
            </w:r>
            <w:r>
              <w:rPr>
                <w:sz w:val="18"/>
              </w:rPr>
              <w:t>to</w:t>
            </w:r>
            <w:r>
              <w:rPr>
                <w:spacing w:val="-12"/>
                <w:sz w:val="18"/>
              </w:rPr>
              <w:t> </w:t>
            </w:r>
            <w:r>
              <w:rPr>
                <w:sz w:val="18"/>
              </w:rPr>
              <w:t>staff</w:t>
            </w:r>
          </w:p>
        </w:tc>
        <w:tc>
          <w:tcPr>
            <w:tcW w:w="3238" w:type="dxa"/>
          </w:tcPr>
          <w:p>
            <w:pPr>
              <w:pStyle w:val="TableParagraph"/>
              <w:spacing w:line="206" w:lineRule="exact"/>
              <w:ind w:left="107"/>
              <w:rPr>
                <w:sz w:val="18"/>
              </w:rPr>
            </w:pPr>
            <w:r>
              <w:rPr>
                <w:sz w:val="18"/>
              </w:rPr>
              <w:t>To</w:t>
            </w:r>
            <w:r>
              <w:rPr>
                <w:spacing w:val="-2"/>
                <w:sz w:val="18"/>
              </w:rPr>
              <w:t> </w:t>
            </w:r>
            <w:r>
              <w:rPr>
                <w:sz w:val="18"/>
              </w:rPr>
              <w:t>be</w:t>
            </w:r>
            <w:r>
              <w:rPr>
                <w:spacing w:val="-3"/>
                <w:sz w:val="18"/>
              </w:rPr>
              <w:t> </w:t>
            </w:r>
            <w:r>
              <w:rPr>
                <w:sz w:val="18"/>
              </w:rPr>
              <w:t>published</w:t>
            </w:r>
            <w:r>
              <w:rPr>
                <w:spacing w:val="-4"/>
                <w:sz w:val="18"/>
              </w:rPr>
              <w:t> </w:t>
            </w:r>
            <w:r>
              <w:rPr>
                <w:sz w:val="18"/>
              </w:rPr>
              <w:t>on</w:t>
            </w:r>
            <w:r>
              <w:rPr>
                <w:spacing w:val="-1"/>
                <w:sz w:val="18"/>
              </w:rPr>
              <w:t> </w:t>
            </w:r>
            <w:r>
              <w:rPr>
                <w:sz w:val="18"/>
              </w:rPr>
              <w:t>the</w:t>
            </w:r>
            <w:r>
              <w:rPr>
                <w:spacing w:val="-1"/>
                <w:sz w:val="18"/>
              </w:rPr>
              <w:t> </w:t>
            </w:r>
            <w:r>
              <w:rPr>
                <w:spacing w:val="-5"/>
                <w:sz w:val="18"/>
              </w:rPr>
              <w:t>Hub</w:t>
            </w:r>
          </w:p>
        </w:tc>
        <w:tc>
          <w:tcPr>
            <w:tcW w:w="708" w:type="dxa"/>
          </w:tcPr>
          <w:p>
            <w:pPr>
              <w:pStyle w:val="TableParagraph"/>
              <w:ind w:left="107" w:right="101"/>
              <w:rPr>
                <w:sz w:val="18"/>
              </w:rPr>
            </w:pPr>
            <w:r>
              <w:rPr>
                <w:spacing w:val="-4"/>
                <w:sz w:val="18"/>
              </w:rPr>
              <w:t>Com </w:t>
            </w:r>
            <w:r>
              <w:rPr>
                <w:spacing w:val="-2"/>
                <w:sz w:val="18"/>
              </w:rPr>
              <w:t>ms/IG</w:t>
            </w:r>
          </w:p>
        </w:tc>
        <w:tc>
          <w:tcPr>
            <w:tcW w:w="850" w:type="dxa"/>
          </w:tcPr>
          <w:p>
            <w:pPr>
              <w:pStyle w:val="TableParagraph"/>
              <w:spacing w:line="228" w:lineRule="exact"/>
              <w:ind w:left="107" w:right="284"/>
              <w:rPr>
                <w:sz w:val="20"/>
              </w:rPr>
            </w:pPr>
            <w:r>
              <w:rPr>
                <w:spacing w:val="-4"/>
                <w:sz w:val="20"/>
              </w:rPr>
              <w:t>Dec 2024</w:t>
            </w:r>
          </w:p>
        </w:tc>
        <w:tc>
          <w:tcPr>
            <w:tcW w:w="852" w:type="dxa"/>
          </w:tcPr>
          <w:p>
            <w:pPr>
              <w:pStyle w:val="TableParagraph"/>
              <w:spacing w:line="228" w:lineRule="exact"/>
              <w:ind w:left="107" w:right="286"/>
              <w:rPr>
                <w:sz w:val="20"/>
              </w:rPr>
            </w:pPr>
            <w:r>
              <w:rPr>
                <w:spacing w:val="-4"/>
                <w:sz w:val="20"/>
              </w:rPr>
              <w:t>Dec 2024</w:t>
            </w:r>
          </w:p>
        </w:tc>
        <w:tc>
          <w:tcPr>
            <w:tcW w:w="1416" w:type="dxa"/>
          </w:tcPr>
          <w:p>
            <w:pPr>
              <w:pStyle w:val="TableParagraph"/>
              <w:spacing w:line="206" w:lineRule="exact"/>
              <w:ind w:left="107"/>
              <w:rPr>
                <w:sz w:val="18"/>
              </w:rPr>
            </w:pPr>
            <w:r>
              <w:rPr>
                <w:sz w:val="18"/>
              </w:rPr>
              <w:t>Comms</w:t>
            </w:r>
            <w:r>
              <w:rPr>
                <w:spacing w:val="-7"/>
                <w:sz w:val="18"/>
              </w:rPr>
              <w:t> </w:t>
            </w:r>
            <w:r>
              <w:rPr>
                <w:spacing w:val="-4"/>
                <w:sz w:val="18"/>
              </w:rPr>
              <w:t>Team</w:t>
            </w:r>
          </w:p>
        </w:tc>
      </w:tr>
      <w:tr>
        <w:trPr>
          <w:trHeight w:val="621" w:hRule="atLeast"/>
        </w:trPr>
        <w:tc>
          <w:tcPr>
            <w:tcW w:w="843" w:type="dxa"/>
          </w:tcPr>
          <w:p>
            <w:pPr>
              <w:pStyle w:val="TableParagraph"/>
              <w:spacing w:before="1"/>
              <w:rPr>
                <w:sz w:val="18"/>
              </w:rPr>
            </w:pPr>
            <w:r>
              <w:rPr>
                <w:spacing w:val="-2"/>
                <w:sz w:val="18"/>
              </w:rPr>
              <w:t>Staff</w:t>
            </w:r>
          </w:p>
        </w:tc>
        <w:tc>
          <w:tcPr>
            <w:tcW w:w="1729" w:type="dxa"/>
          </w:tcPr>
          <w:p>
            <w:pPr>
              <w:pStyle w:val="TableParagraph"/>
              <w:spacing w:line="206" w:lineRule="exact"/>
              <w:ind w:left="107"/>
              <w:rPr>
                <w:sz w:val="18"/>
              </w:rPr>
            </w:pPr>
            <w:r>
              <w:rPr>
                <w:sz w:val="18"/>
              </w:rPr>
              <w:t>To</w:t>
            </w:r>
            <w:r>
              <w:rPr>
                <w:spacing w:val="-12"/>
                <w:sz w:val="18"/>
              </w:rPr>
              <w:t> </w:t>
            </w:r>
            <w:r>
              <w:rPr>
                <w:sz w:val="18"/>
              </w:rPr>
              <w:t>ensure</w:t>
            </w:r>
            <w:r>
              <w:rPr>
                <w:spacing w:val="-13"/>
                <w:sz w:val="18"/>
              </w:rPr>
              <w:t> </w:t>
            </w:r>
            <w:r>
              <w:rPr>
                <w:sz w:val="18"/>
              </w:rPr>
              <w:t>all</w:t>
            </w:r>
            <w:r>
              <w:rPr>
                <w:spacing w:val="-12"/>
                <w:sz w:val="18"/>
              </w:rPr>
              <w:t> </w:t>
            </w:r>
            <w:r>
              <w:rPr>
                <w:sz w:val="18"/>
              </w:rPr>
              <w:t>staff are aware of the </w:t>
            </w:r>
            <w:r>
              <w:rPr>
                <w:spacing w:val="-2"/>
                <w:sz w:val="18"/>
              </w:rPr>
              <w:t>Policy</w:t>
            </w:r>
          </w:p>
        </w:tc>
        <w:tc>
          <w:tcPr>
            <w:tcW w:w="3238" w:type="dxa"/>
          </w:tcPr>
          <w:p>
            <w:pPr>
              <w:pStyle w:val="TableParagraph"/>
              <w:spacing w:before="1"/>
              <w:ind w:left="107"/>
              <w:rPr>
                <w:sz w:val="18"/>
              </w:rPr>
            </w:pPr>
            <w:r>
              <w:rPr>
                <w:sz w:val="18"/>
              </w:rPr>
              <w:t>To</w:t>
            </w:r>
            <w:r>
              <w:rPr>
                <w:spacing w:val="-2"/>
                <w:sz w:val="18"/>
              </w:rPr>
              <w:t> </w:t>
            </w:r>
            <w:r>
              <w:rPr>
                <w:sz w:val="18"/>
              </w:rPr>
              <w:t>include</w:t>
            </w:r>
            <w:r>
              <w:rPr>
                <w:spacing w:val="-2"/>
                <w:sz w:val="18"/>
              </w:rPr>
              <w:t> </w:t>
            </w:r>
            <w:r>
              <w:rPr>
                <w:sz w:val="18"/>
              </w:rPr>
              <w:t>in</w:t>
            </w:r>
            <w:r>
              <w:rPr>
                <w:spacing w:val="-2"/>
                <w:sz w:val="18"/>
              </w:rPr>
              <w:t> </w:t>
            </w:r>
            <w:r>
              <w:rPr>
                <w:sz w:val="18"/>
              </w:rPr>
              <w:t>The</w:t>
            </w:r>
            <w:r>
              <w:rPr>
                <w:spacing w:val="-1"/>
                <w:sz w:val="18"/>
              </w:rPr>
              <w:t> </w:t>
            </w:r>
            <w:r>
              <w:rPr>
                <w:spacing w:val="-4"/>
                <w:sz w:val="18"/>
              </w:rPr>
              <w:t>Voice</w:t>
            </w:r>
          </w:p>
        </w:tc>
        <w:tc>
          <w:tcPr>
            <w:tcW w:w="708" w:type="dxa"/>
          </w:tcPr>
          <w:p>
            <w:pPr>
              <w:pStyle w:val="TableParagraph"/>
              <w:spacing w:before="1"/>
              <w:ind w:left="107" w:right="101"/>
              <w:rPr>
                <w:sz w:val="18"/>
              </w:rPr>
            </w:pPr>
            <w:r>
              <w:rPr>
                <w:spacing w:val="-4"/>
                <w:sz w:val="18"/>
              </w:rPr>
              <w:t>Com </w:t>
            </w:r>
            <w:r>
              <w:rPr>
                <w:spacing w:val="-2"/>
                <w:sz w:val="18"/>
              </w:rPr>
              <w:t>ms/IG</w:t>
            </w:r>
          </w:p>
        </w:tc>
        <w:tc>
          <w:tcPr>
            <w:tcW w:w="850" w:type="dxa"/>
          </w:tcPr>
          <w:p>
            <w:pPr>
              <w:pStyle w:val="TableParagraph"/>
              <w:ind w:left="107" w:right="284"/>
              <w:rPr>
                <w:sz w:val="20"/>
              </w:rPr>
            </w:pPr>
            <w:r>
              <w:rPr>
                <w:spacing w:val="-4"/>
                <w:sz w:val="20"/>
              </w:rPr>
              <w:t>Dec 2024</w:t>
            </w:r>
          </w:p>
        </w:tc>
        <w:tc>
          <w:tcPr>
            <w:tcW w:w="852" w:type="dxa"/>
          </w:tcPr>
          <w:p>
            <w:pPr>
              <w:pStyle w:val="TableParagraph"/>
              <w:ind w:left="107" w:right="286"/>
              <w:rPr>
                <w:sz w:val="20"/>
              </w:rPr>
            </w:pPr>
            <w:r>
              <w:rPr>
                <w:spacing w:val="-4"/>
                <w:sz w:val="20"/>
              </w:rPr>
              <w:t>Dec 2024</w:t>
            </w:r>
          </w:p>
        </w:tc>
        <w:tc>
          <w:tcPr>
            <w:tcW w:w="1416" w:type="dxa"/>
          </w:tcPr>
          <w:p>
            <w:pPr>
              <w:pStyle w:val="TableParagraph"/>
              <w:spacing w:before="1"/>
              <w:ind w:left="107"/>
              <w:rPr>
                <w:sz w:val="18"/>
              </w:rPr>
            </w:pPr>
            <w:r>
              <w:rPr>
                <w:sz w:val="18"/>
              </w:rPr>
              <w:t>Comms</w:t>
            </w:r>
            <w:r>
              <w:rPr>
                <w:spacing w:val="-7"/>
                <w:sz w:val="18"/>
              </w:rPr>
              <w:t> </w:t>
            </w:r>
            <w:r>
              <w:rPr>
                <w:spacing w:val="-4"/>
                <w:sz w:val="18"/>
              </w:rPr>
              <w:t>Team</w:t>
            </w:r>
          </w:p>
        </w:tc>
      </w:tr>
      <w:tr>
        <w:trPr>
          <w:trHeight w:val="621" w:hRule="atLeast"/>
        </w:trPr>
        <w:tc>
          <w:tcPr>
            <w:tcW w:w="843" w:type="dxa"/>
          </w:tcPr>
          <w:p>
            <w:pPr>
              <w:pStyle w:val="TableParagraph"/>
              <w:spacing w:before="1"/>
              <w:rPr>
                <w:sz w:val="18"/>
              </w:rPr>
            </w:pPr>
            <w:r>
              <w:rPr>
                <w:spacing w:val="-2"/>
                <w:sz w:val="18"/>
              </w:rPr>
              <w:t>Staff</w:t>
            </w:r>
          </w:p>
        </w:tc>
        <w:tc>
          <w:tcPr>
            <w:tcW w:w="1729" w:type="dxa"/>
          </w:tcPr>
          <w:p>
            <w:pPr>
              <w:pStyle w:val="TableParagraph"/>
              <w:spacing w:line="206" w:lineRule="exact"/>
              <w:ind w:left="107"/>
              <w:rPr>
                <w:sz w:val="18"/>
              </w:rPr>
            </w:pPr>
            <w:r>
              <w:rPr>
                <w:sz w:val="18"/>
              </w:rPr>
              <w:t>To</w:t>
            </w:r>
            <w:r>
              <w:rPr>
                <w:spacing w:val="-12"/>
                <w:sz w:val="18"/>
              </w:rPr>
              <w:t> </w:t>
            </w:r>
            <w:r>
              <w:rPr>
                <w:sz w:val="18"/>
              </w:rPr>
              <w:t>ensure</w:t>
            </w:r>
            <w:r>
              <w:rPr>
                <w:spacing w:val="-13"/>
                <w:sz w:val="18"/>
              </w:rPr>
              <w:t> </w:t>
            </w:r>
            <w:r>
              <w:rPr>
                <w:sz w:val="18"/>
              </w:rPr>
              <w:t>all</w:t>
            </w:r>
            <w:r>
              <w:rPr>
                <w:spacing w:val="-12"/>
                <w:sz w:val="18"/>
              </w:rPr>
              <w:t> </w:t>
            </w:r>
            <w:r>
              <w:rPr>
                <w:sz w:val="18"/>
              </w:rPr>
              <w:t>staff are aware of the </w:t>
            </w:r>
            <w:r>
              <w:rPr>
                <w:spacing w:val="-2"/>
                <w:sz w:val="18"/>
              </w:rPr>
              <w:t>Policy</w:t>
            </w:r>
          </w:p>
        </w:tc>
        <w:tc>
          <w:tcPr>
            <w:tcW w:w="3238" w:type="dxa"/>
          </w:tcPr>
          <w:p>
            <w:pPr>
              <w:pStyle w:val="TableParagraph"/>
              <w:spacing w:before="1"/>
              <w:ind w:left="107"/>
              <w:rPr>
                <w:sz w:val="18"/>
              </w:rPr>
            </w:pPr>
            <w:r>
              <w:rPr>
                <w:sz w:val="18"/>
              </w:rPr>
              <w:t>To</w:t>
            </w:r>
            <w:r>
              <w:rPr>
                <w:spacing w:val="-1"/>
                <w:sz w:val="18"/>
              </w:rPr>
              <w:t> </w:t>
            </w:r>
            <w:r>
              <w:rPr>
                <w:sz w:val="18"/>
              </w:rPr>
              <w:t>be</w:t>
            </w:r>
            <w:r>
              <w:rPr>
                <w:spacing w:val="-3"/>
                <w:sz w:val="18"/>
              </w:rPr>
              <w:t> </w:t>
            </w:r>
            <w:r>
              <w:rPr>
                <w:sz w:val="18"/>
              </w:rPr>
              <w:t>sent to</w:t>
            </w:r>
            <w:r>
              <w:rPr>
                <w:spacing w:val="-3"/>
                <w:sz w:val="18"/>
              </w:rPr>
              <w:t> </w:t>
            </w:r>
            <w:r>
              <w:rPr>
                <w:sz w:val="18"/>
              </w:rPr>
              <w:t>all </w:t>
            </w:r>
            <w:r>
              <w:rPr>
                <w:spacing w:val="-2"/>
                <w:sz w:val="18"/>
              </w:rPr>
              <w:t>IAO/IAAs</w:t>
            </w:r>
          </w:p>
        </w:tc>
        <w:tc>
          <w:tcPr>
            <w:tcW w:w="708" w:type="dxa"/>
          </w:tcPr>
          <w:p>
            <w:pPr>
              <w:pStyle w:val="TableParagraph"/>
              <w:spacing w:before="1"/>
              <w:ind w:left="107"/>
              <w:rPr>
                <w:sz w:val="18"/>
              </w:rPr>
            </w:pPr>
            <w:r>
              <w:rPr>
                <w:spacing w:val="-5"/>
                <w:sz w:val="18"/>
              </w:rPr>
              <w:t>IG</w:t>
            </w:r>
          </w:p>
        </w:tc>
        <w:tc>
          <w:tcPr>
            <w:tcW w:w="850" w:type="dxa"/>
          </w:tcPr>
          <w:p>
            <w:pPr>
              <w:pStyle w:val="TableParagraph"/>
              <w:ind w:left="107" w:right="284"/>
              <w:rPr>
                <w:sz w:val="20"/>
              </w:rPr>
            </w:pPr>
            <w:r>
              <w:rPr>
                <w:spacing w:val="-4"/>
                <w:sz w:val="20"/>
              </w:rPr>
              <w:t>Dec 2024</w:t>
            </w:r>
          </w:p>
        </w:tc>
        <w:tc>
          <w:tcPr>
            <w:tcW w:w="852" w:type="dxa"/>
          </w:tcPr>
          <w:p>
            <w:pPr>
              <w:pStyle w:val="TableParagraph"/>
              <w:ind w:left="107" w:right="286"/>
              <w:rPr>
                <w:sz w:val="20"/>
              </w:rPr>
            </w:pPr>
            <w:r>
              <w:rPr>
                <w:spacing w:val="-4"/>
                <w:sz w:val="20"/>
              </w:rPr>
              <w:t>Dec 2024</w:t>
            </w:r>
          </w:p>
        </w:tc>
        <w:tc>
          <w:tcPr>
            <w:tcW w:w="1416" w:type="dxa"/>
          </w:tcPr>
          <w:p>
            <w:pPr>
              <w:pStyle w:val="TableParagraph"/>
              <w:spacing w:before="1"/>
              <w:ind w:left="107"/>
              <w:rPr>
                <w:sz w:val="18"/>
              </w:rPr>
            </w:pPr>
            <w:r>
              <w:rPr>
                <w:spacing w:val="-5"/>
                <w:sz w:val="18"/>
              </w:rPr>
              <w:t>N/A</w:t>
            </w:r>
          </w:p>
        </w:tc>
      </w:tr>
    </w:tbl>
    <w:sectPr>
      <w:pgSz w:w="11910" w:h="16840"/>
      <w:pgMar w:header="570" w:footer="1032" w:top="1200" w:bottom="1220" w:left="5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Symbol">
    <w:altName w:val="Symbol"/>
    <w:charset w:val="2"/>
    <w:family w:val="decorative"/>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7"/>
      </w:rPr>
    </w:pPr>
    <w:r>
      <w:rPr/>
      <w:drawing>
        <wp:anchor distT="0" distB="0" distL="0" distR="0" allowOverlap="1" layoutInCell="1" locked="0" behindDoc="1" simplePos="0" relativeHeight="487210496">
          <wp:simplePos x="0" y="0"/>
          <wp:positionH relativeFrom="page">
            <wp:posOffset>0</wp:posOffset>
          </wp:positionH>
          <wp:positionV relativeFrom="page">
            <wp:posOffset>10641964</wp:posOffset>
          </wp:positionV>
          <wp:extent cx="7560817" cy="473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60817" cy="47371"/>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12032">
          <wp:simplePos x="0" y="0"/>
          <wp:positionH relativeFrom="page">
            <wp:posOffset>0</wp:posOffset>
          </wp:positionH>
          <wp:positionV relativeFrom="page">
            <wp:posOffset>10641964</wp:posOffset>
          </wp:positionV>
          <wp:extent cx="7560817" cy="4737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560817" cy="47371"/>
                  </a:xfrm>
                  <a:prstGeom prst="rect">
                    <a:avLst/>
                  </a:prstGeom>
                </pic:spPr>
              </pic:pic>
            </a:graphicData>
          </a:graphic>
        </wp:anchor>
      </w:drawing>
    </w:r>
    <w:r>
      <w:rPr/>
      <w:drawing>
        <wp:anchor distT="0" distB="0" distL="0" distR="0" allowOverlap="1" layoutInCell="1" locked="0" behindDoc="1" simplePos="0" relativeHeight="487212544">
          <wp:simplePos x="0" y="0"/>
          <wp:positionH relativeFrom="page">
            <wp:posOffset>745269</wp:posOffset>
          </wp:positionH>
          <wp:positionV relativeFrom="page">
            <wp:posOffset>10043312</wp:posOffset>
          </wp:positionV>
          <wp:extent cx="1692586" cy="15192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2" cstate="print"/>
                  <a:stretch>
                    <a:fillRect/>
                  </a:stretch>
                </pic:blipFill>
                <pic:spPr>
                  <a:xfrm>
                    <a:off x="0" y="0"/>
                    <a:ext cx="1692586" cy="151923"/>
                  </a:xfrm>
                  <a:prstGeom prst="rect">
                    <a:avLst/>
                  </a:prstGeom>
                </pic:spPr>
              </pic:pic>
            </a:graphicData>
          </a:graphic>
        </wp:anchor>
      </w:drawing>
    </w:r>
    <w:r>
      <w:rPr/>
      <mc:AlternateContent>
        <mc:Choice Requires="wps">
          <w:drawing>
            <wp:anchor distT="0" distB="0" distL="0" distR="0" allowOverlap="1" layoutInCell="1" locked="0" behindDoc="1" simplePos="0" relativeHeight="487213056">
              <wp:simplePos x="0" y="0"/>
              <wp:positionH relativeFrom="page">
                <wp:posOffset>3671951</wp:posOffset>
              </wp:positionH>
              <wp:positionV relativeFrom="page">
                <wp:posOffset>9894613</wp:posOffset>
              </wp:positionV>
              <wp:extent cx="229235" cy="167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130005pt;margin-top:779.103455pt;width:18.05pt;height:13.15pt;mso-position-horizontal-relative:page;mso-position-vertical-relative:page;z-index:-16103424" type="#_x0000_t202" id="docshape1"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13568">
              <wp:simplePos x="0" y="0"/>
              <wp:positionH relativeFrom="page">
                <wp:posOffset>5586221</wp:posOffset>
              </wp:positionH>
              <wp:positionV relativeFrom="page">
                <wp:posOffset>10041848</wp:posOffset>
              </wp:positionV>
              <wp:extent cx="1305560" cy="3714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05560" cy="371475"/>
                      </a:xfrm>
                      <a:prstGeom prst="rect">
                        <a:avLst/>
                      </a:prstGeom>
                    </wps:spPr>
                    <wps:txbx>
                      <w:txbxContent>
                        <w:p>
                          <w:pPr>
                            <w:pStyle w:val="BodyText"/>
                            <w:spacing w:before="12"/>
                            <w:ind w:left="20" w:right="18" w:firstLine="811"/>
                          </w:pPr>
                          <w:r>
                            <w:rPr>
                              <w:spacing w:val="-2"/>
                            </w:rPr>
                            <w:t>Information </w:t>
                          </w:r>
                          <w:r>
                            <w:rPr/>
                            <w:t>Governance</w:t>
                          </w:r>
                          <w:r>
                            <w:rPr>
                              <w:spacing w:val="-9"/>
                            </w:rPr>
                            <w:t> </w:t>
                          </w:r>
                          <w:r>
                            <w:rPr>
                              <w:spacing w:val="-2"/>
                            </w:rPr>
                            <w:t>Policy</w:t>
                          </w:r>
                        </w:p>
                      </w:txbxContent>
                    </wps:txbx>
                    <wps:bodyPr wrap="square" lIns="0" tIns="0" rIns="0" bIns="0" rtlCol="0">
                      <a:noAutofit/>
                    </wps:bodyPr>
                  </wps:wsp>
                </a:graphicData>
              </a:graphic>
            </wp:anchor>
          </w:drawing>
        </mc:Choice>
        <mc:Fallback>
          <w:pict>
            <v:shape style="position:absolute;margin-left:439.859985pt;margin-top:790.696716pt;width:102.8pt;height:29.25pt;mso-position-horizontal-relative:page;mso-position-vertical-relative:page;z-index:-16102912" type="#_x0000_t202" id="docshape2" filled="false" stroked="false">
              <v:textbox inset="0,0,0,0">
                <w:txbxContent>
                  <w:p>
                    <w:pPr>
                      <w:pStyle w:val="BodyText"/>
                      <w:spacing w:before="12"/>
                      <w:ind w:left="20" w:right="18" w:firstLine="811"/>
                    </w:pPr>
                    <w:r>
                      <w:rPr>
                        <w:spacing w:val="-2"/>
                      </w:rPr>
                      <w:t>Information </w:t>
                    </w:r>
                    <w:r>
                      <w:rPr/>
                      <w:t>Governance</w:t>
                    </w:r>
                    <w:r>
                      <w:rPr>
                        <w:spacing w:val="-9"/>
                      </w:rPr>
                      <w:t> </w:t>
                    </w:r>
                    <w:r>
                      <w:rPr>
                        <w:spacing w:val="-2"/>
                      </w:rPr>
                      <w:t>Policy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11008">
          <wp:simplePos x="0" y="0"/>
          <wp:positionH relativeFrom="page">
            <wp:posOffset>787400</wp:posOffset>
          </wp:positionH>
          <wp:positionV relativeFrom="page">
            <wp:posOffset>361962</wp:posOffset>
          </wp:positionV>
          <wp:extent cx="1028700" cy="35558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028700" cy="355587"/>
                  </a:xfrm>
                  <a:prstGeom prst="rect">
                    <a:avLst/>
                  </a:prstGeom>
                </pic:spPr>
              </pic:pic>
            </a:graphicData>
          </a:graphic>
        </wp:anchor>
      </w:drawing>
    </w:r>
    <w:r>
      <w:rPr/>
      <w:drawing>
        <wp:anchor distT="0" distB="0" distL="0" distR="0" allowOverlap="1" layoutInCell="1" locked="0" behindDoc="1" simplePos="0" relativeHeight="487211520">
          <wp:simplePos x="0" y="0"/>
          <wp:positionH relativeFrom="page">
            <wp:posOffset>5735581</wp:posOffset>
          </wp:positionH>
          <wp:positionV relativeFrom="page">
            <wp:posOffset>361962</wp:posOffset>
          </wp:positionV>
          <wp:extent cx="1172583" cy="41261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1172583" cy="4126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o"/>
      <w:lvlJc w:val="left"/>
      <w:pPr>
        <w:ind w:left="1240" w:hanging="721"/>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182" w:hanging="721"/>
      </w:pPr>
      <w:rPr>
        <w:rFonts w:hint="default"/>
        <w:lang w:val="en-US" w:eastAsia="en-US" w:bidi="ar-SA"/>
      </w:rPr>
    </w:lvl>
    <w:lvl w:ilvl="2">
      <w:start w:val="0"/>
      <w:numFmt w:val="bullet"/>
      <w:lvlText w:val="•"/>
      <w:lvlJc w:val="left"/>
      <w:pPr>
        <w:ind w:left="3125" w:hanging="721"/>
      </w:pPr>
      <w:rPr>
        <w:rFonts w:hint="default"/>
        <w:lang w:val="en-US" w:eastAsia="en-US" w:bidi="ar-SA"/>
      </w:rPr>
    </w:lvl>
    <w:lvl w:ilvl="3">
      <w:start w:val="0"/>
      <w:numFmt w:val="bullet"/>
      <w:lvlText w:val="•"/>
      <w:lvlJc w:val="left"/>
      <w:pPr>
        <w:ind w:left="4068" w:hanging="721"/>
      </w:pPr>
      <w:rPr>
        <w:rFonts w:hint="default"/>
        <w:lang w:val="en-US" w:eastAsia="en-US" w:bidi="ar-SA"/>
      </w:rPr>
    </w:lvl>
    <w:lvl w:ilvl="4">
      <w:start w:val="0"/>
      <w:numFmt w:val="bullet"/>
      <w:lvlText w:val="•"/>
      <w:lvlJc w:val="left"/>
      <w:pPr>
        <w:ind w:left="5011" w:hanging="721"/>
      </w:pPr>
      <w:rPr>
        <w:rFonts w:hint="default"/>
        <w:lang w:val="en-US" w:eastAsia="en-US" w:bidi="ar-SA"/>
      </w:rPr>
    </w:lvl>
    <w:lvl w:ilvl="5">
      <w:start w:val="0"/>
      <w:numFmt w:val="bullet"/>
      <w:lvlText w:val="•"/>
      <w:lvlJc w:val="left"/>
      <w:pPr>
        <w:ind w:left="5954" w:hanging="721"/>
      </w:pPr>
      <w:rPr>
        <w:rFonts w:hint="default"/>
        <w:lang w:val="en-US" w:eastAsia="en-US" w:bidi="ar-SA"/>
      </w:rPr>
    </w:lvl>
    <w:lvl w:ilvl="6">
      <w:start w:val="0"/>
      <w:numFmt w:val="bullet"/>
      <w:lvlText w:val="•"/>
      <w:lvlJc w:val="left"/>
      <w:pPr>
        <w:ind w:left="6897" w:hanging="721"/>
      </w:pPr>
      <w:rPr>
        <w:rFonts w:hint="default"/>
        <w:lang w:val="en-US" w:eastAsia="en-US" w:bidi="ar-SA"/>
      </w:rPr>
    </w:lvl>
    <w:lvl w:ilvl="7">
      <w:start w:val="0"/>
      <w:numFmt w:val="bullet"/>
      <w:lvlText w:val="•"/>
      <w:lvlJc w:val="left"/>
      <w:pPr>
        <w:ind w:left="7840" w:hanging="721"/>
      </w:pPr>
      <w:rPr>
        <w:rFonts w:hint="default"/>
        <w:lang w:val="en-US" w:eastAsia="en-US" w:bidi="ar-SA"/>
      </w:rPr>
    </w:lvl>
    <w:lvl w:ilvl="8">
      <w:start w:val="0"/>
      <w:numFmt w:val="bullet"/>
      <w:lvlText w:val="•"/>
      <w:lvlJc w:val="left"/>
      <w:pPr>
        <w:ind w:left="8783" w:hanging="721"/>
      </w:pPr>
      <w:rPr>
        <w:rFonts w:hint="default"/>
        <w:lang w:val="en-US" w:eastAsia="en-US" w:bidi="ar-SA"/>
      </w:rPr>
    </w:lvl>
  </w:abstractNum>
  <w:abstractNum w:abstractNumId="5">
    <w:multiLevelType w:val="hybridMultilevel"/>
    <w:lvl w:ilvl="0">
      <w:start w:val="0"/>
      <w:numFmt w:val="bullet"/>
      <w:lvlText w:val="•"/>
      <w:lvlJc w:val="left"/>
      <w:pPr>
        <w:ind w:left="520" w:hanging="721"/>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534" w:hanging="721"/>
      </w:pPr>
      <w:rPr>
        <w:rFonts w:hint="default"/>
        <w:lang w:val="en-US" w:eastAsia="en-US" w:bidi="ar-SA"/>
      </w:rPr>
    </w:lvl>
    <w:lvl w:ilvl="2">
      <w:start w:val="0"/>
      <w:numFmt w:val="bullet"/>
      <w:lvlText w:val="•"/>
      <w:lvlJc w:val="left"/>
      <w:pPr>
        <w:ind w:left="2549" w:hanging="721"/>
      </w:pPr>
      <w:rPr>
        <w:rFonts w:hint="default"/>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579" w:hanging="721"/>
      </w:pPr>
      <w:rPr>
        <w:rFonts w:hint="default"/>
        <w:lang w:val="en-US" w:eastAsia="en-US" w:bidi="ar-SA"/>
      </w:rPr>
    </w:lvl>
    <w:lvl w:ilvl="5">
      <w:start w:val="0"/>
      <w:numFmt w:val="bullet"/>
      <w:lvlText w:val="•"/>
      <w:lvlJc w:val="left"/>
      <w:pPr>
        <w:ind w:left="5594" w:hanging="721"/>
      </w:pPr>
      <w:rPr>
        <w:rFonts w:hint="default"/>
        <w:lang w:val="en-US" w:eastAsia="en-US" w:bidi="ar-SA"/>
      </w:rPr>
    </w:lvl>
    <w:lvl w:ilvl="6">
      <w:start w:val="0"/>
      <w:numFmt w:val="bullet"/>
      <w:lvlText w:val="•"/>
      <w:lvlJc w:val="left"/>
      <w:pPr>
        <w:ind w:left="6609" w:hanging="721"/>
      </w:pPr>
      <w:rPr>
        <w:rFonts w:hint="default"/>
        <w:lang w:val="en-US" w:eastAsia="en-US" w:bidi="ar-SA"/>
      </w:rPr>
    </w:lvl>
    <w:lvl w:ilvl="7">
      <w:start w:val="0"/>
      <w:numFmt w:val="bullet"/>
      <w:lvlText w:val="•"/>
      <w:lvlJc w:val="left"/>
      <w:pPr>
        <w:ind w:left="7624" w:hanging="721"/>
      </w:pPr>
      <w:rPr>
        <w:rFonts w:hint="default"/>
        <w:lang w:val="en-US" w:eastAsia="en-US" w:bidi="ar-SA"/>
      </w:rPr>
    </w:lvl>
    <w:lvl w:ilvl="8">
      <w:start w:val="0"/>
      <w:numFmt w:val="bullet"/>
      <w:lvlText w:val="•"/>
      <w:lvlJc w:val="left"/>
      <w:pPr>
        <w:ind w:left="8639" w:hanging="721"/>
      </w:pPr>
      <w:rPr>
        <w:rFonts w:hint="default"/>
        <w:lang w:val="en-US" w:eastAsia="en-US" w:bidi="ar-SA"/>
      </w:rPr>
    </w:lvl>
  </w:abstractNum>
  <w:abstractNum w:abstractNumId="4">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58" w:hanging="361"/>
      </w:pPr>
      <w:rPr>
        <w:rFonts w:hint="default"/>
        <w:lang w:val="en-US" w:eastAsia="en-US" w:bidi="ar-SA"/>
      </w:rPr>
    </w:lvl>
    <w:lvl w:ilvl="2">
      <w:start w:val="0"/>
      <w:numFmt w:val="bullet"/>
      <w:lvlText w:val="•"/>
      <w:lvlJc w:val="left"/>
      <w:pPr>
        <w:ind w:left="2837" w:hanging="361"/>
      </w:pPr>
      <w:rPr>
        <w:rFonts w:hint="default"/>
        <w:lang w:val="en-US" w:eastAsia="en-US" w:bidi="ar-SA"/>
      </w:rPr>
    </w:lvl>
    <w:lvl w:ilvl="3">
      <w:start w:val="0"/>
      <w:numFmt w:val="bullet"/>
      <w:lvlText w:val="•"/>
      <w:lvlJc w:val="left"/>
      <w:pPr>
        <w:ind w:left="3816" w:hanging="361"/>
      </w:pPr>
      <w:rPr>
        <w:rFonts w:hint="default"/>
        <w:lang w:val="en-US" w:eastAsia="en-US" w:bidi="ar-SA"/>
      </w:rPr>
    </w:lvl>
    <w:lvl w:ilvl="4">
      <w:start w:val="0"/>
      <w:numFmt w:val="bullet"/>
      <w:lvlText w:val="•"/>
      <w:lvlJc w:val="left"/>
      <w:pPr>
        <w:ind w:left="4795" w:hanging="361"/>
      </w:pPr>
      <w:rPr>
        <w:rFonts w:hint="default"/>
        <w:lang w:val="en-US" w:eastAsia="en-US" w:bidi="ar-SA"/>
      </w:rPr>
    </w:lvl>
    <w:lvl w:ilvl="5">
      <w:start w:val="0"/>
      <w:numFmt w:val="bullet"/>
      <w:lvlText w:val="•"/>
      <w:lvlJc w:val="left"/>
      <w:pPr>
        <w:ind w:left="5774" w:hanging="361"/>
      </w:pPr>
      <w:rPr>
        <w:rFonts w:hint="default"/>
        <w:lang w:val="en-US" w:eastAsia="en-US" w:bidi="ar-SA"/>
      </w:rPr>
    </w:lvl>
    <w:lvl w:ilvl="6">
      <w:start w:val="0"/>
      <w:numFmt w:val="bullet"/>
      <w:lvlText w:val="•"/>
      <w:lvlJc w:val="left"/>
      <w:pPr>
        <w:ind w:left="6753" w:hanging="361"/>
      </w:pPr>
      <w:rPr>
        <w:rFonts w:hint="default"/>
        <w:lang w:val="en-US" w:eastAsia="en-US" w:bidi="ar-SA"/>
      </w:rPr>
    </w:lvl>
    <w:lvl w:ilvl="7">
      <w:start w:val="0"/>
      <w:numFmt w:val="bullet"/>
      <w:lvlText w:val="•"/>
      <w:lvlJc w:val="left"/>
      <w:pPr>
        <w:ind w:left="7732" w:hanging="361"/>
      </w:pPr>
      <w:rPr>
        <w:rFonts w:hint="default"/>
        <w:lang w:val="en-US" w:eastAsia="en-US" w:bidi="ar-SA"/>
      </w:rPr>
    </w:lvl>
    <w:lvl w:ilvl="8">
      <w:start w:val="0"/>
      <w:numFmt w:val="bullet"/>
      <w:lvlText w:val="•"/>
      <w:lvlJc w:val="left"/>
      <w:pPr>
        <w:ind w:left="8711" w:hanging="361"/>
      </w:pPr>
      <w:rPr>
        <w:rFonts w:hint="default"/>
        <w:lang w:val="en-US" w:eastAsia="en-US" w:bidi="ar-SA"/>
      </w:rPr>
    </w:lvl>
  </w:abstractNum>
  <w:abstractNum w:abstractNumId="3">
    <w:multiLevelType w:val="hybridMultilevel"/>
    <w:lvl w:ilvl="0">
      <w:start w:val="0"/>
      <w:numFmt w:val="bullet"/>
      <w:lvlText w:val=""/>
      <w:lvlJc w:val="left"/>
      <w:pPr>
        <w:ind w:left="82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9" w:hanging="361"/>
      </w:pPr>
      <w:rPr>
        <w:rFonts w:hint="default"/>
        <w:lang w:val="en-US" w:eastAsia="en-US" w:bidi="ar-SA"/>
      </w:rPr>
    </w:lvl>
    <w:lvl w:ilvl="2">
      <w:start w:val="0"/>
      <w:numFmt w:val="bullet"/>
      <w:lvlText w:val="•"/>
      <w:lvlJc w:val="left"/>
      <w:pPr>
        <w:ind w:left="2078" w:hanging="361"/>
      </w:pPr>
      <w:rPr>
        <w:rFonts w:hint="default"/>
        <w:lang w:val="en-US" w:eastAsia="en-US" w:bidi="ar-SA"/>
      </w:rPr>
    </w:lvl>
    <w:lvl w:ilvl="3">
      <w:start w:val="0"/>
      <w:numFmt w:val="bullet"/>
      <w:lvlText w:val="•"/>
      <w:lvlJc w:val="left"/>
      <w:pPr>
        <w:ind w:left="2707" w:hanging="361"/>
      </w:pPr>
      <w:rPr>
        <w:rFonts w:hint="default"/>
        <w:lang w:val="en-US" w:eastAsia="en-US" w:bidi="ar-SA"/>
      </w:rPr>
    </w:lvl>
    <w:lvl w:ilvl="4">
      <w:start w:val="0"/>
      <w:numFmt w:val="bullet"/>
      <w:lvlText w:val="•"/>
      <w:lvlJc w:val="left"/>
      <w:pPr>
        <w:ind w:left="3336" w:hanging="361"/>
      </w:pPr>
      <w:rPr>
        <w:rFonts w:hint="default"/>
        <w:lang w:val="en-US" w:eastAsia="en-US" w:bidi="ar-SA"/>
      </w:rPr>
    </w:lvl>
    <w:lvl w:ilvl="5">
      <w:start w:val="0"/>
      <w:numFmt w:val="bullet"/>
      <w:lvlText w:val="•"/>
      <w:lvlJc w:val="left"/>
      <w:pPr>
        <w:ind w:left="3965" w:hanging="361"/>
      </w:pPr>
      <w:rPr>
        <w:rFonts w:hint="default"/>
        <w:lang w:val="en-US" w:eastAsia="en-US" w:bidi="ar-SA"/>
      </w:rPr>
    </w:lvl>
    <w:lvl w:ilvl="6">
      <w:start w:val="0"/>
      <w:numFmt w:val="bullet"/>
      <w:lvlText w:val="•"/>
      <w:lvlJc w:val="left"/>
      <w:pPr>
        <w:ind w:left="4594" w:hanging="361"/>
      </w:pPr>
      <w:rPr>
        <w:rFonts w:hint="default"/>
        <w:lang w:val="en-US" w:eastAsia="en-US" w:bidi="ar-SA"/>
      </w:rPr>
    </w:lvl>
    <w:lvl w:ilvl="7">
      <w:start w:val="0"/>
      <w:numFmt w:val="bullet"/>
      <w:lvlText w:val="•"/>
      <w:lvlJc w:val="left"/>
      <w:pPr>
        <w:ind w:left="5223" w:hanging="361"/>
      </w:pPr>
      <w:rPr>
        <w:rFonts w:hint="default"/>
        <w:lang w:val="en-US" w:eastAsia="en-US" w:bidi="ar-SA"/>
      </w:rPr>
    </w:lvl>
    <w:lvl w:ilvl="8">
      <w:start w:val="0"/>
      <w:numFmt w:val="bullet"/>
      <w:lvlText w:val="•"/>
      <w:lvlJc w:val="left"/>
      <w:pPr>
        <w:ind w:left="5852" w:hanging="361"/>
      </w:pPr>
      <w:rPr>
        <w:rFonts w:hint="default"/>
        <w:lang w:val="en-US" w:eastAsia="en-US" w:bidi="ar-SA"/>
      </w:rPr>
    </w:lvl>
  </w:abstractNum>
  <w:abstractNum w:abstractNumId="2">
    <w:multiLevelType w:val="hybridMultilevel"/>
    <w:lvl w:ilvl="0">
      <w:start w:val="0"/>
      <w:numFmt w:val="bullet"/>
      <w:lvlText w:val=""/>
      <w:lvlJc w:val="left"/>
      <w:pPr>
        <w:ind w:left="5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49"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579" w:hanging="360"/>
      </w:pPr>
      <w:rPr>
        <w:rFonts w:hint="default"/>
        <w:lang w:val="en-US" w:eastAsia="en-US" w:bidi="ar-SA"/>
      </w:rPr>
    </w:lvl>
    <w:lvl w:ilvl="5">
      <w:start w:val="0"/>
      <w:numFmt w:val="bullet"/>
      <w:lvlText w:val="•"/>
      <w:lvlJc w:val="left"/>
      <w:pPr>
        <w:ind w:left="5594" w:hanging="360"/>
      </w:pPr>
      <w:rPr>
        <w:rFonts w:hint="default"/>
        <w:lang w:val="en-US" w:eastAsia="en-US" w:bidi="ar-SA"/>
      </w:rPr>
    </w:lvl>
    <w:lvl w:ilvl="6">
      <w:start w:val="0"/>
      <w:numFmt w:val="bullet"/>
      <w:lvlText w:val="•"/>
      <w:lvlJc w:val="left"/>
      <w:pPr>
        <w:ind w:left="6609"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639" w:hanging="360"/>
      </w:pPr>
      <w:rPr>
        <w:rFonts w:hint="default"/>
        <w:lang w:val="en-US" w:eastAsia="en-US" w:bidi="ar-SA"/>
      </w:rPr>
    </w:lvl>
  </w:abstractNum>
  <w:abstractNum w:abstractNumId="1">
    <w:multiLevelType w:val="hybridMultilevel"/>
    <w:lvl w:ilvl="0">
      <w:start w:val="1"/>
      <w:numFmt w:val="decimal"/>
      <w:lvlText w:val="%1"/>
      <w:lvlJc w:val="left"/>
      <w:pPr>
        <w:ind w:left="880" w:hanging="361"/>
        <w:jc w:val="left"/>
      </w:pPr>
      <w:rPr>
        <w:rFonts w:hint="default" w:ascii="Arial Black" w:hAnsi="Arial Black" w:eastAsia="Arial Black" w:cs="Arial Black"/>
        <w:b w:val="0"/>
        <w:bCs w:val="0"/>
        <w:i w:val="0"/>
        <w:iCs w:val="0"/>
        <w:color w:val="1C1F62"/>
        <w:spacing w:val="0"/>
        <w:w w:val="100"/>
        <w:sz w:val="28"/>
        <w:szCs w:val="28"/>
        <w:lang w:val="en-US" w:eastAsia="en-US" w:bidi="ar-SA"/>
      </w:rPr>
    </w:lvl>
    <w:lvl w:ilvl="1">
      <w:start w:val="1"/>
      <w:numFmt w:val="decimal"/>
      <w:lvlText w:val="%1.%2"/>
      <w:lvlJc w:val="left"/>
      <w:pPr>
        <w:ind w:left="1151" w:hanging="632"/>
        <w:jc w:val="left"/>
      </w:pPr>
      <w:rPr>
        <w:rFonts w:hint="default" w:ascii="Arial Black" w:hAnsi="Arial Black" w:eastAsia="Arial Black" w:cs="Arial Black"/>
        <w:b w:val="0"/>
        <w:bCs w:val="0"/>
        <w:i w:val="0"/>
        <w:iCs w:val="0"/>
        <w:color w:val="1C1F62"/>
        <w:spacing w:val="-1"/>
        <w:w w:val="99"/>
        <w:sz w:val="26"/>
        <w:szCs w:val="26"/>
        <w:lang w:val="en-US" w:eastAsia="en-US" w:bidi="ar-SA"/>
      </w:rPr>
    </w:lvl>
    <w:lvl w:ilvl="2">
      <w:start w:val="0"/>
      <w:numFmt w:val="bullet"/>
      <w:lvlText w:val="•"/>
      <w:lvlJc w:val="left"/>
      <w:pPr>
        <w:ind w:left="1240" w:hanging="632"/>
      </w:pPr>
      <w:rPr>
        <w:rFonts w:hint="default"/>
        <w:lang w:val="en-US" w:eastAsia="en-US" w:bidi="ar-SA"/>
      </w:rPr>
    </w:lvl>
    <w:lvl w:ilvl="3">
      <w:start w:val="0"/>
      <w:numFmt w:val="bullet"/>
      <w:lvlText w:val="•"/>
      <w:lvlJc w:val="left"/>
      <w:pPr>
        <w:ind w:left="2418" w:hanging="632"/>
      </w:pPr>
      <w:rPr>
        <w:rFonts w:hint="default"/>
        <w:lang w:val="en-US" w:eastAsia="en-US" w:bidi="ar-SA"/>
      </w:rPr>
    </w:lvl>
    <w:lvl w:ilvl="4">
      <w:start w:val="0"/>
      <w:numFmt w:val="bullet"/>
      <w:lvlText w:val="•"/>
      <w:lvlJc w:val="left"/>
      <w:pPr>
        <w:ind w:left="3597" w:hanging="632"/>
      </w:pPr>
      <w:rPr>
        <w:rFonts w:hint="default"/>
        <w:lang w:val="en-US" w:eastAsia="en-US" w:bidi="ar-SA"/>
      </w:rPr>
    </w:lvl>
    <w:lvl w:ilvl="5">
      <w:start w:val="0"/>
      <w:numFmt w:val="bullet"/>
      <w:lvlText w:val="•"/>
      <w:lvlJc w:val="left"/>
      <w:pPr>
        <w:ind w:left="4775" w:hanging="632"/>
      </w:pPr>
      <w:rPr>
        <w:rFonts w:hint="default"/>
        <w:lang w:val="en-US" w:eastAsia="en-US" w:bidi="ar-SA"/>
      </w:rPr>
    </w:lvl>
    <w:lvl w:ilvl="6">
      <w:start w:val="0"/>
      <w:numFmt w:val="bullet"/>
      <w:lvlText w:val="•"/>
      <w:lvlJc w:val="left"/>
      <w:pPr>
        <w:ind w:left="5954" w:hanging="632"/>
      </w:pPr>
      <w:rPr>
        <w:rFonts w:hint="default"/>
        <w:lang w:val="en-US" w:eastAsia="en-US" w:bidi="ar-SA"/>
      </w:rPr>
    </w:lvl>
    <w:lvl w:ilvl="7">
      <w:start w:val="0"/>
      <w:numFmt w:val="bullet"/>
      <w:lvlText w:val="•"/>
      <w:lvlJc w:val="left"/>
      <w:pPr>
        <w:ind w:left="7133" w:hanging="632"/>
      </w:pPr>
      <w:rPr>
        <w:rFonts w:hint="default"/>
        <w:lang w:val="en-US" w:eastAsia="en-US" w:bidi="ar-SA"/>
      </w:rPr>
    </w:lvl>
    <w:lvl w:ilvl="8">
      <w:start w:val="0"/>
      <w:numFmt w:val="bullet"/>
      <w:lvlText w:val="•"/>
      <w:lvlJc w:val="left"/>
      <w:pPr>
        <w:ind w:left="8311" w:hanging="632"/>
      </w:pPr>
      <w:rPr>
        <w:rFonts w:hint="default"/>
        <w:lang w:val="en-US" w:eastAsia="en-US" w:bidi="ar-SA"/>
      </w:rPr>
    </w:lvl>
  </w:abstractNum>
  <w:abstractNum w:abstractNumId="0">
    <w:multiLevelType w:val="hybridMultilevel"/>
    <w:lvl w:ilvl="0">
      <w:start w:val="1"/>
      <w:numFmt w:val="decimal"/>
      <w:lvlText w:val="%1"/>
      <w:lvlJc w:val="left"/>
      <w:pPr>
        <w:ind w:left="1151" w:hanging="632"/>
        <w:jc w:val="left"/>
      </w:pPr>
      <w:rPr>
        <w:rFonts w:hint="default" w:ascii="Arial MT" w:hAnsi="Arial MT" w:eastAsia="Arial MT" w:cs="Arial MT"/>
        <w:b w:val="0"/>
        <w:bCs w:val="0"/>
        <w:i w:val="0"/>
        <w:iCs w:val="0"/>
        <w:spacing w:val="0"/>
        <w:w w:val="99"/>
        <w:sz w:val="24"/>
        <w:szCs w:val="24"/>
        <w:lang w:val="en-US" w:eastAsia="en-US" w:bidi="ar-SA"/>
      </w:rPr>
    </w:lvl>
    <w:lvl w:ilvl="1">
      <w:start w:val="1"/>
      <w:numFmt w:val="decimal"/>
      <w:lvlText w:val="%1.%2"/>
      <w:lvlJc w:val="left"/>
      <w:pPr>
        <w:ind w:left="1780" w:hanging="629"/>
        <w:jc w:val="left"/>
      </w:pPr>
      <w:rPr>
        <w:rFonts w:hint="default" w:ascii="Arial MT" w:hAnsi="Arial MT" w:eastAsia="Arial MT" w:cs="Arial MT"/>
        <w:b w:val="0"/>
        <w:bCs w:val="0"/>
        <w:i w:val="0"/>
        <w:iCs w:val="0"/>
        <w:spacing w:val="0"/>
        <w:w w:val="99"/>
        <w:sz w:val="24"/>
        <w:szCs w:val="24"/>
        <w:lang w:val="en-US" w:eastAsia="en-US" w:bidi="ar-SA"/>
      </w:rPr>
    </w:lvl>
    <w:lvl w:ilvl="2">
      <w:start w:val="0"/>
      <w:numFmt w:val="bullet"/>
      <w:lvlText w:val="•"/>
      <w:lvlJc w:val="left"/>
      <w:pPr>
        <w:ind w:left="2767" w:hanging="629"/>
      </w:pPr>
      <w:rPr>
        <w:rFonts w:hint="default"/>
        <w:lang w:val="en-US" w:eastAsia="en-US" w:bidi="ar-SA"/>
      </w:rPr>
    </w:lvl>
    <w:lvl w:ilvl="3">
      <w:start w:val="0"/>
      <w:numFmt w:val="bullet"/>
      <w:lvlText w:val="•"/>
      <w:lvlJc w:val="left"/>
      <w:pPr>
        <w:ind w:left="3755" w:hanging="629"/>
      </w:pPr>
      <w:rPr>
        <w:rFonts w:hint="default"/>
        <w:lang w:val="en-US" w:eastAsia="en-US" w:bidi="ar-SA"/>
      </w:rPr>
    </w:lvl>
    <w:lvl w:ilvl="4">
      <w:start w:val="0"/>
      <w:numFmt w:val="bullet"/>
      <w:lvlText w:val="•"/>
      <w:lvlJc w:val="left"/>
      <w:pPr>
        <w:ind w:left="4742" w:hanging="629"/>
      </w:pPr>
      <w:rPr>
        <w:rFonts w:hint="default"/>
        <w:lang w:val="en-US" w:eastAsia="en-US" w:bidi="ar-SA"/>
      </w:rPr>
    </w:lvl>
    <w:lvl w:ilvl="5">
      <w:start w:val="0"/>
      <w:numFmt w:val="bullet"/>
      <w:lvlText w:val="•"/>
      <w:lvlJc w:val="left"/>
      <w:pPr>
        <w:ind w:left="5730" w:hanging="629"/>
      </w:pPr>
      <w:rPr>
        <w:rFonts w:hint="default"/>
        <w:lang w:val="en-US" w:eastAsia="en-US" w:bidi="ar-SA"/>
      </w:rPr>
    </w:lvl>
    <w:lvl w:ilvl="6">
      <w:start w:val="0"/>
      <w:numFmt w:val="bullet"/>
      <w:lvlText w:val="•"/>
      <w:lvlJc w:val="left"/>
      <w:pPr>
        <w:ind w:left="6718" w:hanging="629"/>
      </w:pPr>
      <w:rPr>
        <w:rFonts w:hint="default"/>
        <w:lang w:val="en-US" w:eastAsia="en-US" w:bidi="ar-SA"/>
      </w:rPr>
    </w:lvl>
    <w:lvl w:ilvl="7">
      <w:start w:val="0"/>
      <w:numFmt w:val="bullet"/>
      <w:lvlText w:val="•"/>
      <w:lvlJc w:val="left"/>
      <w:pPr>
        <w:ind w:left="7705" w:hanging="629"/>
      </w:pPr>
      <w:rPr>
        <w:rFonts w:hint="default"/>
        <w:lang w:val="en-US" w:eastAsia="en-US" w:bidi="ar-SA"/>
      </w:rPr>
    </w:lvl>
    <w:lvl w:ilvl="8">
      <w:start w:val="0"/>
      <w:numFmt w:val="bullet"/>
      <w:lvlText w:val="•"/>
      <w:lvlJc w:val="left"/>
      <w:pPr>
        <w:ind w:left="8693" w:hanging="62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281"/>
      <w:ind w:left="520"/>
    </w:pPr>
    <w:rPr>
      <w:rFonts w:ascii="Arial" w:hAnsi="Arial" w:eastAsia="Arial" w:cs="Arial"/>
      <w:b/>
      <w:bCs/>
      <w:sz w:val="24"/>
      <w:szCs w:val="24"/>
      <w:lang w:val="en-US" w:eastAsia="en-US" w:bidi="ar-SA"/>
    </w:rPr>
  </w:style>
  <w:style w:styleId="TOC2" w:type="paragraph">
    <w:name w:val="TOC 2"/>
    <w:basedOn w:val="Normal"/>
    <w:uiPriority w:val="1"/>
    <w:qFormat/>
    <w:pPr>
      <w:spacing w:before="240"/>
      <w:ind w:left="1151" w:hanging="631"/>
    </w:pPr>
    <w:rPr>
      <w:rFonts w:ascii="Arial MT" w:hAnsi="Arial MT" w:eastAsia="Arial MT" w:cs="Arial MT"/>
      <w:sz w:val="24"/>
      <w:szCs w:val="24"/>
      <w:lang w:val="en-US" w:eastAsia="en-US" w:bidi="ar-SA"/>
    </w:rPr>
  </w:style>
  <w:style w:styleId="TOC3" w:type="paragraph">
    <w:name w:val="TOC 3"/>
    <w:basedOn w:val="Normal"/>
    <w:uiPriority w:val="1"/>
    <w:qFormat/>
    <w:pPr>
      <w:spacing w:before="243"/>
      <w:ind w:left="1777" w:hanging="626"/>
    </w:pPr>
    <w:rPr>
      <w:rFonts w:ascii="Arial MT" w:hAnsi="Arial MT" w:eastAsia="Arial MT" w:cs="Arial MT"/>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484"/>
      <w:ind w:left="520"/>
      <w:outlineLvl w:val="1"/>
    </w:pPr>
    <w:rPr>
      <w:rFonts w:ascii="Arial Black" w:hAnsi="Arial Black" w:eastAsia="Arial Black" w:cs="Arial Black"/>
      <w:sz w:val="48"/>
      <w:szCs w:val="48"/>
      <w:lang w:val="en-US" w:eastAsia="en-US" w:bidi="ar-SA"/>
    </w:rPr>
  </w:style>
  <w:style w:styleId="Heading2" w:type="paragraph">
    <w:name w:val="Heading 2"/>
    <w:basedOn w:val="Normal"/>
    <w:uiPriority w:val="1"/>
    <w:qFormat/>
    <w:pPr>
      <w:ind w:left="880" w:hanging="360"/>
      <w:outlineLvl w:val="2"/>
    </w:pPr>
    <w:rPr>
      <w:rFonts w:ascii="Arial Black" w:hAnsi="Arial Black" w:eastAsia="Arial Black" w:cs="Arial Black"/>
      <w:sz w:val="28"/>
      <w:szCs w:val="28"/>
      <w:lang w:val="en-US" w:eastAsia="en-US" w:bidi="ar-SA"/>
    </w:rPr>
  </w:style>
  <w:style w:styleId="Heading3" w:type="paragraph">
    <w:name w:val="Heading 3"/>
    <w:basedOn w:val="Normal"/>
    <w:uiPriority w:val="1"/>
    <w:qFormat/>
    <w:pPr>
      <w:ind w:left="1237" w:hanging="717"/>
      <w:outlineLvl w:val="3"/>
    </w:pPr>
    <w:rPr>
      <w:rFonts w:ascii="Arial Black" w:hAnsi="Arial Black" w:eastAsia="Arial Black" w:cs="Arial Black"/>
      <w:sz w:val="26"/>
      <w:szCs w:val="26"/>
      <w:lang w:val="en-US" w:eastAsia="en-US" w:bidi="ar-SA"/>
    </w:rPr>
  </w:style>
  <w:style w:styleId="Heading4" w:type="paragraph">
    <w:name w:val="Heading 4"/>
    <w:basedOn w:val="Normal"/>
    <w:uiPriority w:val="1"/>
    <w:qFormat/>
    <w:pPr>
      <w:spacing w:before="159"/>
      <w:ind w:left="52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880" w:hanging="360"/>
    </w:pPr>
    <w:rPr>
      <w:rFonts w:ascii="Arial MT" w:hAnsi="Arial MT" w:eastAsia="Arial MT" w:cs="Arial MT"/>
      <w:lang w:val="en-US" w:eastAsia="en-US" w:bidi="ar-SA"/>
    </w:rPr>
  </w:style>
  <w:style w:styleId="TableParagraph" w:type="paragraph">
    <w:name w:val="Table Paragraph"/>
    <w:basedOn w:val="Normal"/>
    <w:uiPriority w:val="1"/>
    <w:qFormat/>
    <w:pPr>
      <w:ind w:left="108"/>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s://digital.nhs.uk/codes-of-practice-handling-information/confidential-information" TargetMode="External"/><Relationship Id="rId13" Type="http://schemas.openxmlformats.org/officeDocument/2006/relationships/hyperlink" Target="https://www.gov.uk/government/publications/confidentiality-nhs-code-of-practice" TargetMode="External"/><Relationship Id="rId14" Type="http://schemas.openxmlformats.org/officeDocument/2006/relationships/hyperlink" Target="http://www.legislation.gov.uk/ukpga/2015/28/contents/enacted" TargetMode="External"/><Relationship Id="rId15" Type="http://schemas.openxmlformats.org/officeDocument/2006/relationships/hyperlink" Target="https://www.england.nhs.uk/publication/confidentiality-policy/" TargetMode="External"/><Relationship Id="rId16" Type="http://schemas.openxmlformats.org/officeDocument/2006/relationships/image" Target="media/image8.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Suvidha Bane</dc:creator>
  <dc:title>blank template January 2019</dc:title>
  <dcterms:created xsi:type="dcterms:W3CDTF">2024-11-27T09:48:17Z</dcterms:created>
  <dcterms:modified xsi:type="dcterms:W3CDTF">2024-11-27T09:48:17Z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Producer">
    <vt:lpwstr>Microsoft® Word for Microsoft 365</vt:lpwstr>
  </property>
</Properties>
</file>