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977DD" w14:textId="77777777" w:rsidR="00AC3056" w:rsidRDefault="00AC3056" w:rsidP="00595F8C">
      <w:pPr>
        <w:jc w:val="center"/>
        <w:rPr>
          <w:rFonts w:ascii="Arial" w:hAnsi="Arial" w:cs="Arial"/>
          <w:b/>
          <w:bCs/>
          <w:sz w:val="28"/>
          <w:szCs w:val="28"/>
        </w:rPr>
      </w:pPr>
    </w:p>
    <w:p w14:paraId="2C6E6592" w14:textId="17872F2C" w:rsidR="00595F8C" w:rsidRPr="00497055" w:rsidRDefault="00595F8C" w:rsidP="00595F8C">
      <w:pPr>
        <w:jc w:val="center"/>
        <w:rPr>
          <w:rFonts w:ascii="Arial" w:hAnsi="Arial" w:cs="Arial"/>
          <w:b/>
          <w:bCs/>
          <w:sz w:val="28"/>
          <w:szCs w:val="28"/>
        </w:rPr>
      </w:pPr>
      <w:r w:rsidRPr="00497055">
        <w:rPr>
          <w:rFonts w:ascii="Arial" w:hAnsi="Arial" w:cs="Arial"/>
          <w:b/>
          <w:bCs/>
          <w:sz w:val="28"/>
          <w:szCs w:val="28"/>
        </w:rPr>
        <w:t>Positive Action Initiative – Recruitment and Progression</w:t>
      </w:r>
    </w:p>
    <w:p w14:paraId="223B4D4F" w14:textId="77777777" w:rsidR="00595F8C" w:rsidRPr="00497055" w:rsidRDefault="00595F8C" w:rsidP="00595F8C">
      <w:pPr>
        <w:jc w:val="center"/>
        <w:rPr>
          <w:rFonts w:ascii="Arial" w:hAnsi="Arial" w:cs="Arial"/>
          <w:b/>
          <w:bCs/>
          <w:sz w:val="28"/>
          <w:szCs w:val="28"/>
        </w:rPr>
      </w:pPr>
      <w:r w:rsidRPr="00497055">
        <w:rPr>
          <w:rFonts w:ascii="Arial" w:hAnsi="Arial" w:cs="Arial"/>
          <w:b/>
          <w:bCs/>
          <w:sz w:val="28"/>
          <w:szCs w:val="28"/>
        </w:rPr>
        <w:t>Planning Template</w:t>
      </w:r>
    </w:p>
    <w:p w14:paraId="58119D2D" w14:textId="77777777" w:rsidR="00595F8C" w:rsidRPr="00D324C6" w:rsidRDefault="00595F8C" w:rsidP="00595F8C">
      <w:pPr>
        <w:rPr>
          <w:rFonts w:ascii="Arial" w:hAnsi="Arial" w:cs="Arial"/>
          <w:sz w:val="24"/>
          <w:szCs w:val="24"/>
        </w:rPr>
      </w:pPr>
      <w:r w:rsidRPr="00D324C6">
        <w:rPr>
          <w:rFonts w:ascii="Arial" w:hAnsi="Arial" w:cs="Arial"/>
          <w:sz w:val="24"/>
          <w:szCs w:val="24"/>
        </w:rPr>
        <w:t xml:space="preserve">This template presents key considerations when developing new positive action initiatives. The supporting reference column should help you to think about where you might find connections to justify the basis for the initiative. Use the Notes and Evidence column to record the evidence or actions you have taken during the planning stage. </w:t>
      </w:r>
    </w:p>
    <w:p w14:paraId="36C79A25" w14:textId="473254C8" w:rsidR="00595F8C" w:rsidRDefault="00595F8C" w:rsidP="00595F8C">
      <w:pPr>
        <w:rPr>
          <w:rFonts w:ascii="Arial" w:hAnsi="Arial" w:cs="Arial"/>
          <w:sz w:val="24"/>
          <w:szCs w:val="24"/>
        </w:rPr>
      </w:pPr>
      <w:r w:rsidRPr="00D324C6">
        <w:rPr>
          <w:rFonts w:ascii="Arial" w:hAnsi="Arial" w:cs="Arial"/>
          <w:sz w:val="24"/>
          <w:szCs w:val="24"/>
        </w:rPr>
        <w:t xml:space="preserve">NB. If you are considering inclusive support for groups that are not protected under the Equality Act 2010, refer to the Public Sector Equality Duty and outline the data and evidence that indicate the disadvantage or under-representation.  </w:t>
      </w:r>
    </w:p>
    <w:p w14:paraId="70EB524C" w14:textId="7E5A1970" w:rsidR="00497055" w:rsidRDefault="00497055" w:rsidP="00595F8C">
      <w:pPr>
        <w:rPr>
          <w:rFonts w:ascii="Arial" w:hAnsi="Arial" w:cs="Arial"/>
          <w:sz w:val="24"/>
          <w:szCs w:val="24"/>
        </w:rPr>
      </w:pPr>
      <w:r>
        <w:rPr>
          <w:rFonts w:ascii="Arial" w:hAnsi="Arial" w:cs="Arial"/>
          <w:sz w:val="24"/>
          <w:szCs w:val="24"/>
        </w:rPr>
        <w:t xml:space="preserve">If you require guidance on developing an </w:t>
      </w:r>
      <w:proofErr w:type="gramStart"/>
      <w:r>
        <w:rPr>
          <w:rFonts w:ascii="Arial" w:hAnsi="Arial" w:cs="Arial"/>
          <w:sz w:val="24"/>
          <w:szCs w:val="24"/>
        </w:rPr>
        <w:t>initiative</w:t>
      </w:r>
      <w:proofErr w:type="gramEnd"/>
      <w:r>
        <w:rPr>
          <w:rFonts w:ascii="Arial" w:hAnsi="Arial" w:cs="Arial"/>
          <w:sz w:val="24"/>
          <w:szCs w:val="24"/>
        </w:rPr>
        <w:t xml:space="preserve"> please contact </w:t>
      </w:r>
      <w:hyperlink r:id="rId10" w:history="1">
        <w:r w:rsidR="006E3853" w:rsidRPr="00880DEE">
          <w:rPr>
            <w:rStyle w:val="Hyperlink"/>
            <w:rFonts w:ascii="Arial" w:hAnsi="Arial" w:cs="Arial"/>
            <w:sz w:val="24"/>
            <w:szCs w:val="24"/>
          </w:rPr>
          <w:t>bnssg.inclusion@nhs.net</w:t>
        </w:r>
      </w:hyperlink>
      <w:r w:rsidR="006E3853">
        <w:rPr>
          <w:rFonts w:ascii="Arial" w:hAnsi="Arial" w:cs="Arial"/>
          <w:sz w:val="24"/>
          <w:szCs w:val="24"/>
        </w:rPr>
        <w:t xml:space="preserve"> </w:t>
      </w:r>
      <w:r>
        <w:rPr>
          <w:rFonts w:ascii="Arial" w:hAnsi="Arial" w:cs="Arial"/>
          <w:sz w:val="24"/>
          <w:szCs w:val="24"/>
        </w:rPr>
        <w:t xml:space="preserve"> </w:t>
      </w:r>
    </w:p>
    <w:p w14:paraId="14DF4A12" w14:textId="77777777" w:rsidR="00AC3056" w:rsidRPr="00D324C6" w:rsidRDefault="00AC3056" w:rsidP="00595F8C">
      <w:pPr>
        <w:rPr>
          <w:rFonts w:ascii="Arial" w:hAnsi="Arial" w:cs="Arial"/>
          <w:sz w:val="24"/>
          <w:szCs w:val="24"/>
        </w:rPr>
      </w:pPr>
    </w:p>
    <w:tbl>
      <w:tblPr>
        <w:tblStyle w:val="TableGrid"/>
        <w:tblW w:w="5000" w:type="pct"/>
        <w:tblLook w:val="04A0" w:firstRow="1" w:lastRow="0" w:firstColumn="1" w:lastColumn="0" w:noHBand="0" w:noVBand="1"/>
      </w:tblPr>
      <w:tblGrid>
        <w:gridCol w:w="3681"/>
        <w:gridCol w:w="6450"/>
        <w:gridCol w:w="5067"/>
      </w:tblGrid>
      <w:tr w:rsidR="00595F8C" w:rsidRPr="00D324C6" w14:paraId="7A1A2259" w14:textId="77777777" w:rsidTr="00632F9E">
        <w:tc>
          <w:tcPr>
            <w:tcW w:w="1211" w:type="pct"/>
          </w:tcPr>
          <w:p w14:paraId="22714C45" w14:textId="77777777" w:rsidR="00595F8C" w:rsidRPr="00AC3056" w:rsidRDefault="00595F8C" w:rsidP="00AC3056">
            <w:pPr>
              <w:rPr>
                <w:rFonts w:ascii="Arial" w:hAnsi="Arial" w:cs="Arial"/>
                <w:b/>
                <w:bCs/>
                <w:sz w:val="24"/>
                <w:szCs w:val="24"/>
              </w:rPr>
            </w:pPr>
            <w:r w:rsidRPr="00AC3056">
              <w:rPr>
                <w:rFonts w:ascii="Arial" w:hAnsi="Arial" w:cs="Arial"/>
                <w:b/>
                <w:bCs/>
                <w:sz w:val="24"/>
                <w:szCs w:val="24"/>
              </w:rPr>
              <w:t>Key Considerations</w:t>
            </w:r>
          </w:p>
        </w:tc>
        <w:tc>
          <w:tcPr>
            <w:tcW w:w="2122" w:type="pct"/>
          </w:tcPr>
          <w:p w14:paraId="6F87A9D6" w14:textId="77777777" w:rsidR="00595F8C" w:rsidRPr="00AC3056" w:rsidRDefault="00595F8C" w:rsidP="00AC3056">
            <w:pPr>
              <w:rPr>
                <w:rFonts w:ascii="Arial" w:hAnsi="Arial" w:cs="Arial"/>
                <w:b/>
                <w:bCs/>
                <w:sz w:val="24"/>
                <w:szCs w:val="24"/>
              </w:rPr>
            </w:pPr>
            <w:r w:rsidRPr="00AC3056">
              <w:rPr>
                <w:rFonts w:ascii="Arial" w:hAnsi="Arial" w:cs="Arial"/>
                <w:b/>
                <w:bCs/>
                <w:sz w:val="24"/>
                <w:szCs w:val="24"/>
              </w:rPr>
              <w:t>Supporting references</w:t>
            </w:r>
          </w:p>
        </w:tc>
        <w:tc>
          <w:tcPr>
            <w:tcW w:w="1667" w:type="pct"/>
          </w:tcPr>
          <w:p w14:paraId="428B6E7A" w14:textId="77777777" w:rsidR="00595F8C" w:rsidRPr="00AC3056" w:rsidRDefault="00595F8C" w:rsidP="00AC3056">
            <w:pPr>
              <w:rPr>
                <w:rFonts w:ascii="Arial" w:hAnsi="Arial" w:cs="Arial"/>
                <w:b/>
                <w:bCs/>
                <w:sz w:val="24"/>
                <w:szCs w:val="24"/>
              </w:rPr>
            </w:pPr>
            <w:r w:rsidRPr="00AC3056">
              <w:rPr>
                <w:rFonts w:ascii="Arial" w:hAnsi="Arial" w:cs="Arial"/>
                <w:b/>
                <w:bCs/>
                <w:sz w:val="24"/>
                <w:szCs w:val="24"/>
              </w:rPr>
              <w:t>Notes and Evidence</w:t>
            </w:r>
          </w:p>
        </w:tc>
      </w:tr>
      <w:tr w:rsidR="00595F8C" w:rsidRPr="00D324C6" w14:paraId="630C9AA4" w14:textId="77777777" w:rsidTr="00632F9E">
        <w:tc>
          <w:tcPr>
            <w:tcW w:w="1211" w:type="pct"/>
          </w:tcPr>
          <w:p w14:paraId="0C012AEC" w14:textId="645D6250" w:rsidR="00596B2E" w:rsidRPr="00AC3056" w:rsidRDefault="00596B2E" w:rsidP="00596B2E">
            <w:pPr>
              <w:rPr>
                <w:rFonts w:ascii="Arial" w:hAnsi="Arial" w:cs="Arial"/>
                <w:sz w:val="24"/>
                <w:szCs w:val="24"/>
              </w:rPr>
            </w:pPr>
            <w:r w:rsidRPr="00AC3056">
              <w:rPr>
                <w:rFonts w:ascii="Arial" w:hAnsi="Arial" w:cs="Arial"/>
                <w:sz w:val="24"/>
                <w:szCs w:val="24"/>
              </w:rPr>
              <w:t>Evidence of the disadvantage, particular need and/or disproportionately low levels of participation, as appropriate, and an analysis of the causes.</w:t>
            </w:r>
          </w:p>
          <w:p w14:paraId="6D919038" w14:textId="77777777" w:rsidR="00596B2E" w:rsidRPr="00AC3056" w:rsidRDefault="00596B2E" w:rsidP="00596B2E">
            <w:pPr>
              <w:rPr>
                <w:rFonts w:ascii="Arial" w:hAnsi="Arial" w:cs="Arial"/>
                <w:sz w:val="24"/>
                <w:szCs w:val="24"/>
              </w:rPr>
            </w:pPr>
          </w:p>
          <w:p w14:paraId="4A0E4AA5" w14:textId="77777777" w:rsidR="00595F8C" w:rsidRDefault="00595F8C" w:rsidP="00F32FE0">
            <w:pPr>
              <w:rPr>
                <w:rFonts w:ascii="Arial" w:hAnsi="Arial" w:cs="Arial"/>
                <w:sz w:val="24"/>
                <w:szCs w:val="24"/>
              </w:rPr>
            </w:pPr>
            <w:r w:rsidRPr="00AC3056">
              <w:rPr>
                <w:rFonts w:ascii="Arial" w:hAnsi="Arial" w:cs="Arial"/>
                <w:sz w:val="24"/>
                <w:szCs w:val="24"/>
              </w:rPr>
              <w:t>Locate supporting data and evidence to demonstrate under-representation or disadvantage of the protected characteristic group/s.</w:t>
            </w:r>
          </w:p>
          <w:p w14:paraId="713E6531" w14:textId="77777777" w:rsidR="00AC3056" w:rsidRDefault="00AC3056" w:rsidP="00F32FE0">
            <w:pPr>
              <w:rPr>
                <w:rFonts w:ascii="Arial" w:hAnsi="Arial" w:cs="Arial"/>
                <w:sz w:val="24"/>
                <w:szCs w:val="24"/>
              </w:rPr>
            </w:pPr>
          </w:p>
          <w:p w14:paraId="79841AC3" w14:textId="77777777" w:rsidR="00AC3056" w:rsidRDefault="00AC3056" w:rsidP="00F32FE0">
            <w:pPr>
              <w:rPr>
                <w:rFonts w:ascii="Arial" w:hAnsi="Arial" w:cs="Arial"/>
                <w:sz w:val="24"/>
                <w:szCs w:val="24"/>
              </w:rPr>
            </w:pPr>
          </w:p>
          <w:p w14:paraId="61270B58" w14:textId="0456A989" w:rsidR="00AC3056" w:rsidRPr="00AC3056" w:rsidRDefault="00AC3056" w:rsidP="00F32FE0">
            <w:pPr>
              <w:rPr>
                <w:rFonts w:ascii="Arial" w:hAnsi="Arial" w:cs="Arial"/>
                <w:sz w:val="24"/>
                <w:szCs w:val="24"/>
              </w:rPr>
            </w:pPr>
          </w:p>
        </w:tc>
        <w:tc>
          <w:tcPr>
            <w:tcW w:w="2122" w:type="pct"/>
          </w:tcPr>
          <w:p w14:paraId="31EB17B8" w14:textId="77777777" w:rsidR="00595F8C" w:rsidRPr="00AC3056" w:rsidRDefault="00595F8C" w:rsidP="00F32FE0">
            <w:pPr>
              <w:rPr>
                <w:rFonts w:ascii="Arial" w:hAnsi="Arial" w:cs="Arial"/>
                <w:sz w:val="24"/>
                <w:szCs w:val="24"/>
              </w:rPr>
            </w:pPr>
            <w:r w:rsidRPr="00AC3056">
              <w:rPr>
                <w:rFonts w:ascii="Arial" w:hAnsi="Arial" w:cs="Arial"/>
                <w:sz w:val="24"/>
                <w:szCs w:val="24"/>
              </w:rPr>
              <w:t>Use the suggested priorities and links to data source in the guidance document.</w:t>
            </w:r>
          </w:p>
        </w:tc>
        <w:tc>
          <w:tcPr>
            <w:tcW w:w="1667" w:type="pct"/>
          </w:tcPr>
          <w:p w14:paraId="22F9C523" w14:textId="77777777" w:rsidR="00595F8C" w:rsidRPr="00AD2B1E" w:rsidRDefault="00595F8C" w:rsidP="00F32FE0">
            <w:pPr>
              <w:jc w:val="center"/>
              <w:rPr>
                <w:rFonts w:ascii="Arial" w:hAnsi="Arial" w:cs="Arial"/>
                <w:sz w:val="20"/>
                <w:szCs w:val="20"/>
              </w:rPr>
            </w:pPr>
          </w:p>
        </w:tc>
      </w:tr>
    </w:tbl>
    <w:p w14:paraId="70D4A598" w14:textId="77777777" w:rsidR="00B53AD2" w:rsidRPr="00D324C6" w:rsidRDefault="00B53AD2" w:rsidP="00717960">
      <w:pPr>
        <w:rPr>
          <w:rFonts w:ascii="Arial" w:hAnsi="Arial" w:cs="Arial"/>
          <w:sz w:val="24"/>
          <w:szCs w:val="24"/>
        </w:rPr>
      </w:pPr>
    </w:p>
    <w:p w14:paraId="4AD5D695" w14:textId="77777777" w:rsidR="0042231A" w:rsidRDefault="0042231A" w:rsidP="00717960">
      <w:pPr>
        <w:rPr>
          <w:rFonts w:ascii="Arial" w:hAnsi="Arial" w:cs="Arial"/>
          <w:sz w:val="24"/>
          <w:szCs w:val="24"/>
        </w:rPr>
      </w:pPr>
    </w:p>
    <w:tbl>
      <w:tblPr>
        <w:tblStyle w:val="TableGrid"/>
        <w:tblW w:w="0" w:type="auto"/>
        <w:tblLook w:val="04A0" w:firstRow="1" w:lastRow="0" w:firstColumn="1" w:lastColumn="0" w:noHBand="0" w:noVBand="1"/>
      </w:tblPr>
      <w:tblGrid>
        <w:gridCol w:w="3539"/>
        <w:gridCol w:w="6804"/>
        <w:gridCol w:w="4235"/>
      </w:tblGrid>
      <w:tr w:rsidR="00AC3056" w14:paraId="7761B19B" w14:textId="7CBA5C97" w:rsidTr="00632F9E">
        <w:tc>
          <w:tcPr>
            <w:tcW w:w="3539" w:type="dxa"/>
          </w:tcPr>
          <w:p w14:paraId="2F9CD99E" w14:textId="7BE0E662" w:rsidR="00AC3056" w:rsidRDefault="00AC3056" w:rsidP="00AC3056">
            <w:pPr>
              <w:rPr>
                <w:rFonts w:ascii="Arial" w:hAnsi="Arial" w:cs="Arial"/>
                <w:sz w:val="24"/>
                <w:szCs w:val="24"/>
              </w:rPr>
            </w:pPr>
            <w:r w:rsidRPr="00AC3056">
              <w:rPr>
                <w:rFonts w:ascii="Arial" w:hAnsi="Arial" w:cs="Arial"/>
                <w:b/>
                <w:bCs/>
                <w:sz w:val="24"/>
                <w:szCs w:val="24"/>
              </w:rPr>
              <w:t>Key Considerations</w:t>
            </w:r>
          </w:p>
        </w:tc>
        <w:tc>
          <w:tcPr>
            <w:tcW w:w="6804" w:type="dxa"/>
          </w:tcPr>
          <w:p w14:paraId="2F555319" w14:textId="7DF343CB" w:rsidR="00AC3056" w:rsidRDefault="00AC3056" w:rsidP="00AC3056">
            <w:pPr>
              <w:rPr>
                <w:rFonts w:ascii="Arial" w:hAnsi="Arial" w:cs="Arial"/>
                <w:sz w:val="24"/>
                <w:szCs w:val="24"/>
              </w:rPr>
            </w:pPr>
            <w:r w:rsidRPr="00AC3056">
              <w:rPr>
                <w:rFonts w:ascii="Arial" w:hAnsi="Arial" w:cs="Arial"/>
                <w:b/>
                <w:bCs/>
                <w:sz w:val="24"/>
                <w:szCs w:val="24"/>
              </w:rPr>
              <w:t>Supporting references</w:t>
            </w:r>
          </w:p>
        </w:tc>
        <w:tc>
          <w:tcPr>
            <w:tcW w:w="4235" w:type="dxa"/>
          </w:tcPr>
          <w:p w14:paraId="147F171A" w14:textId="787CCF3C" w:rsidR="00AC3056" w:rsidRDefault="00AC3056" w:rsidP="00AC3056">
            <w:pPr>
              <w:rPr>
                <w:rFonts w:ascii="Arial" w:hAnsi="Arial" w:cs="Arial"/>
                <w:sz w:val="24"/>
                <w:szCs w:val="24"/>
              </w:rPr>
            </w:pPr>
            <w:r w:rsidRPr="00AC3056">
              <w:rPr>
                <w:rFonts w:ascii="Arial" w:hAnsi="Arial" w:cs="Arial"/>
                <w:b/>
                <w:bCs/>
                <w:sz w:val="24"/>
                <w:szCs w:val="24"/>
              </w:rPr>
              <w:t>Notes and Evidence</w:t>
            </w:r>
          </w:p>
        </w:tc>
      </w:tr>
      <w:tr w:rsidR="00AC3056" w14:paraId="529D646D" w14:textId="6AA5F8DD" w:rsidTr="00632F9E">
        <w:tc>
          <w:tcPr>
            <w:tcW w:w="3539" w:type="dxa"/>
          </w:tcPr>
          <w:p w14:paraId="188CB00B" w14:textId="77777777" w:rsidR="00AC3056" w:rsidRPr="00AC3056" w:rsidRDefault="00AC3056" w:rsidP="00AC3056">
            <w:pPr>
              <w:rPr>
                <w:rFonts w:ascii="Arial" w:hAnsi="Arial" w:cs="Arial"/>
                <w:sz w:val="24"/>
                <w:szCs w:val="24"/>
              </w:rPr>
            </w:pPr>
            <w:r w:rsidRPr="00AC3056">
              <w:rPr>
                <w:rFonts w:ascii="Arial" w:hAnsi="Arial" w:cs="Arial"/>
                <w:sz w:val="24"/>
                <w:szCs w:val="24"/>
              </w:rPr>
              <w:t>Identify possible action to achieve outcomes</w:t>
            </w:r>
          </w:p>
          <w:p w14:paraId="79E78B1B" w14:textId="684A420D" w:rsidR="00AC3056" w:rsidRDefault="00AC3056" w:rsidP="00AC3056">
            <w:pPr>
              <w:rPr>
                <w:rFonts w:ascii="Arial" w:hAnsi="Arial" w:cs="Arial"/>
                <w:sz w:val="24"/>
                <w:szCs w:val="24"/>
              </w:rPr>
            </w:pPr>
            <w:r w:rsidRPr="00AC3056">
              <w:rPr>
                <w:rFonts w:ascii="Arial" w:hAnsi="Arial" w:cs="Arial"/>
                <w:sz w:val="24"/>
                <w:szCs w:val="24"/>
              </w:rPr>
              <w:t>(Initiative summary).</w:t>
            </w:r>
          </w:p>
        </w:tc>
        <w:tc>
          <w:tcPr>
            <w:tcW w:w="6804" w:type="dxa"/>
          </w:tcPr>
          <w:p w14:paraId="03D4E570" w14:textId="77777777" w:rsidR="00AC3056" w:rsidRPr="00AC3056" w:rsidRDefault="00AC3056" w:rsidP="00AC3056">
            <w:pPr>
              <w:rPr>
                <w:rFonts w:ascii="Arial" w:hAnsi="Arial" w:cs="Arial"/>
                <w:sz w:val="24"/>
                <w:szCs w:val="24"/>
              </w:rPr>
            </w:pPr>
            <w:r w:rsidRPr="00AC3056">
              <w:rPr>
                <w:rFonts w:ascii="Arial" w:hAnsi="Arial" w:cs="Arial"/>
                <w:sz w:val="24"/>
                <w:szCs w:val="24"/>
              </w:rPr>
              <w:t>Use good practice examples and case studies in the guidance document for inspiration.</w:t>
            </w:r>
          </w:p>
          <w:p w14:paraId="19729EB4" w14:textId="77777777" w:rsidR="00AC3056" w:rsidRPr="00AC3056" w:rsidRDefault="00AC3056" w:rsidP="00AC3056">
            <w:pPr>
              <w:rPr>
                <w:rFonts w:ascii="Arial" w:hAnsi="Arial" w:cs="Arial"/>
                <w:sz w:val="24"/>
                <w:szCs w:val="24"/>
              </w:rPr>
            </w:pPr>
            <w:r w:rsidRPr="00AC3056">
              <w:rPr>
                <w:rFonts w:ascii="Arial" w:hAnsi="Arial" w:cs="Arial"/>
                <w:sz w:val="24"/>
                <w:szCs w:val="24"/>
              </w:rPr>
              <w:t>What are the specific outcomes which you are aiming to achieve?</w:t>
            </w:r>
          </w:p>
          <w:p w14:paraId="5D3F2EE3" w14:textId="77777777" w:rsidR="00AC3056" w:rsidRPr="00AC3056" w:rsidRDefault="00AC3056" w:rsidP="00AC3056">
            <w:pPr>
              <w:rPr>
                <w:rFonts w:ascii="Arial" w:hAnsi="Arial" w:cs="Arial"/>
                <w:sz w:val="24"/>
                <w:szCs w:val="24"/>
              </w:rPr>
            </w:pPr>
            <w:r w:rsidRPr="00AC3056">
              <w:rPr>
                <w:rFonts w:ascii="Arial" w:hAnsi="Arial" w:cs="Arial"/>
                <w:sz w:val="24"/>
                <w:szCs w:val="24"/>
              </w:rPr>
              <w:t>Ensure the opportunity covers one of the following:</w:t>
            </w:r>
          </w:p>
          <w:p w14:paraId="5BF6AFF3" w14:textId="77777777" w:rsidR="00AC3056" w:rsidRPr="00AC3056" w:rsidRDefault="00AC3056" w:rsidP="00AC3056">
            <w:pPr>
              <w:pStyle w:val="ListParagraph"/>
              <w:numPr>
                <w:ilvl w:val="0"/>
                <w:numId w:val="1"/>
              </w:numPr>
              <w:rPr>
                <w:rFonts w:ascii="Arial" w:eastAsiaTheme="minorEastAsia" w:hAnsi="Arial" w:cs="Arial"/>
                <w:sz w:val="24"/>
                <w:szCs w:val="24"/>
              </w:rPr>
            </w:pPr>
            <w:r w:rsidRPr="00AC3056">
              <w:rPr>
                <w:rFonts w:ascii="Arial" w:eastAsia="Tahoma" w:hAnsi="Arial" w:cs="Arial"/>
                <w:sz w:val="24"/>
                <w:szCs w:val="24"/>
              </w:rPr>
              <w:t>Enabling or encouraging persons who share the protected characteristic to overcome or minimise the disadvantage identified.</w:t>
            </w:r>
          </w:p>
          <w:p w14:paraId="21C8F64A" w14:textId="77777777" w:rsidR="00AC3056" w:rsidRPr="00AC3056" w:rsidRDefault="00AC3056" w:rsidP="00AC3056">
            <w:pPr>
              <w:pStyle w:val="ListParagraph"/>
              <w:numPr>
                <w:ilvl w:val="0"/>
                <w:numId w:val="1"/>
              </w:numPr>
              <w:rPr>
                <w:rFonts w:ascii="Arial" w:hAnsi="Arial" w:cs="Arial"/>
                <w:sz w:val="24"/>
                <w:szCs w:val="24"/>
              </w:rPr>
            </w:pPr>
            <w:r w:rsidRPr="00AC3056">
              <w:rPr>
                <w:rFonts w:ascii="Arial" w:eastAsia="Tahoma" w:hAnsi="Arial" w:cs="Arial"/>
                <w:sz w:val="24"/>
                <w:szCs w:val="24"/>
              </w:rPr>
              <w:t>Meeting the needs identified; or</w:t>
            </w:r>
          </w:p>
          <w:p w14:paraId="6B24ABF1" w14:textId="3AC1896C" w:rsidR="00AC3056" w:rsidRPr="00AC3056" w:rsidRDefault="00AC3056" w:rsidP="00AC3056">
            <w:pPr>
              <w:pStyle w:val="ListParagraph"/>
              <w:numPr>
                <w:ilvl w:val="0"/>
                <w:numId w:val="1"/>
              </w:numPr>
              <w:rPr>
                <w:rFonts w:ascii="Arial" w:hAnsi="Arial" w:cs="Arial"/>
                <w:sz w:val="24"/>
                <w:szCs w:val="24"/>
              </w:rPr>
            </w:pPr>
            <w:r w:rsidRPr="00AC3056">
              <w:rPr>
                <w:rFonts w:ascii="Arial" w:eastAsia="Tahoma" w:hAnsi="Arial" w:cs="Arial"/>
                <w:sz w:val="24"/>
                <w:szCs w:val="24"/>
              </w:rPr>
              <w:t>Enabling or encouraging persons who share the protected characteristic to participate in that activity.</w:t>
            </w:r>
          </w:p>
          <w:p w14:paraId="42D07821" w14:textId="77777777" w:rsidR="00AC3056" w:rsidRDefault="00AC3056" w:rsidP="00AC3056">
            <w:pPr>
              <w:rPr>
                <w:rFonts w:ascii="Arial" w:hAnsi="Arial" w:cs="Arial"/>
                <w:sz w:val="24"/>
                <w:szCs w:val="24"/>
              </w:rPr>
            </w:pPr>
          </w:p>
        </w:tc>
        <w:tc>
          <w:tcPr>
            <w:tcW w:w="4235" w:type="dxa"/>
          </w:tcPr>
          <w:p w14:paraId="7C492DDE" w14:textId="77777777" w:rsidR="00AC3056" w:rsidRDefault="00AC3056" w:rsidP="00AC3056">
            <w:pPr>
              <w:rPr>
                <w:rFonts w:ascii="Arial" w:hAnsi="Arial" w:cs="Arial"/>
                <w:sz w:val="24"/>
                <w:szCs w:val="24"/>
              </w:rPr>
            </w:pPr>
          </w:p>
        </w:tc>
      </w:tr>
      <w:tr w:rsidR="00AC3056" w14:paraId="3B5C5070" w14:textId="1E7199F5" w:rsidTr="00632F9E">
        <w:tc>
          <w:tcPr>
            <w:tcW w:w="3539" w:type="dxa"/>
          </w:tcPr>
          <w:p w14:paraId="78E53389" w14:textId="77777777" w:rsidR="00AC3056" w:rsidRPr="00AC3056" w:rsidRDefault="00AC3056" w:rsidP="00AC3056">
            <w:pPr>
              <w:rPr>
                <w:rFonts w:ascii="Arial" w:hAnsi="Arial" w:cs="Arial"/>
                <w:sz w:val="24"/>
                <w:szCs w:val="24"/>
              </w:rPr>
            </w:pPr>
            <w:r w:rsidRPr="00AC3056">
              <w:rPr>
                <w:rFonts w:ascii="Arial" w:hAnsi="Arial" w:cs="Arial"/>
                <w:sz w:val="24"/>
                <w:szCs w:val="24"/>
              </w:rPr>
              <w:t>Assessment of the proportionality of proposed action.</w:t>
            </w:r>
          </w:p>
          <w:p w14:paraId="7B228CA6" w14:textId="0BF6F9B2" w:rsidR="00AC3056" w:rsidRDefault="00AC3056" w:rsidP="00AC3056">
            <w:pPr>
              <w:rPr>
                <w:rFonts w:ascii="Arial" w:hAnsi="Arial" w:cs="Arial"/>
                <w:sz w:val="24"/>
                <w:szCs w:val="24"/>
              </w:rPr>
            </w:pPr>
            <w:r w:rsidRPr="00AC3056">
              <w:rPr>
                <w:rFonts w:ascii="Arial" w:hAnsi="Arial" w:cs="Arial"/>
                <w:sz w:val="24"/>
                <w:szCs w:val="24"/>
              </w:rPr>
              <w:t>Is the proposed opportunity a proportionate means of achieving the aims?</w:t>
            </w:r>
          </w:p>
        </w:tc>
        <w:tc>
          <w:tcPr>
            <w:tcW w:w="6804" w:type="dxa"/>
          </w:tcPr>
          <w:p w14:paraId="1CD5DCEF" w14:textId="77777777" w:rsidR="00AC3056" w:rsidRPr="00AC3056" w:rsidRDefault="00AC3056" w:rsidP="00AC3056">
            <w:pPr>
              <w:rPr>
                <w:rFonts w:ascii="Arial" w:hAnsi="Arial" w:cs="Arial"/>
                <w:sz w:val="24"/>
                <w:szCs w:val="24"/>
              </w:rPr>
            </w:pPr>
            <w:r w:rsidRPr="00AC3056">
              <w:rPr>
                <w:rFonts w:ascii="Arial" w:hAnsi="Arial" w:cs="Arial"/>
                <w:sz w:val="24"/>
                <w:szCs w:val="24"/>
              </w:rPr>
              <w:t xml:space="preserve">Proportionate can be open to interpretation. </w:t>
            </w:r>
          </w:p>
          <w:p w14:paraId="53898A4D" w14:textId="77777777" w:rsidR="00AC3056" w:rsidRPr="00AC3056" w:rsidRDefault="00AC3056" w:rsidP="00AC3056">
            <w:pPr>
              <w:rPr>
                <w:rFonts w:ascii="Arial" w:hAnsi="Arial" w:cs="Arial"/>
                <w:sz w:val="24"/>
                <w:szCs w:val="24"/>
              </w:rPr>
            </w:pPr>
            <w:r w:rsidRPr="00AC3056">
              <w:rPr>
                <w:rFonts w:ascii="Arial" w:hAnsi="Arial" w:cs="Arial"/>
                <w:sz w:val="24"/>
                <w:szCs w:val="24"/>
              </w:rPr>
              <w:t>Set out the measurable indicators of progress towards the aims, set against a timetable.</w:t>
            </w:r>
          </w:p>
          <w:p w14:paraId="5E8B7EC4" w14:textId="77777777" w:rsidR="00AC3056" w:rsidRPr="00AC3056" w:rsidRDefault="00AC3056" w:rsidP="00AC3056">
            <w:pPr>
              <w:rPr>
                <w:rFonts w:ascii="Arial" w:hAnsi="Arial" w:cs="Arial"/>
                <w:sz w:val="24"/>
                <w:szCs w:val="24"/>
              </w:rPr>
            </w:pPr>
          </w:p>
          <w:p w14:paraId="288B1A65" w14:textId="77777777" w:rsidR="00AC3056" w:rsidRPr="00AC3056" w:rsidRDefault="00AC3056" w:rsidP="00AC3056">
            <w:pPr>
              <w:rPr>
                <w:rFonts w:ascii="Arial" w:hAnsi="Arial" w:cs="Arial"/>
                <w:sz w:val="24"/>
                <w:szCs w:val="24"/>
              </w:rPr>
            </w:pPr>
            <w:r w:rsidRPr="00AC3056">
              <w:rPr>
                <w:rFonts w:ascii="Arial" w:hAnsi="Arial" w:cs="Arial"/>
                <w:sz w:val="24"/>
                <w:szCs w:val="24"/>
              </w:rPr>
              <w:t xml:space="preserve">Ensure the activity </w:t>
            </w:r>
            <w:proofErr w:type="gramStart"/>
            <w:r w:rsidRPr="00AC3056">
              <w:rPr>
                <w:rFonts w:ascii="Arial" w:hAnsi="Arial" w:cs="Arial"/>
                <w:sz w:val="24"/>
                <w:szCs w:val="24"/>
              </w:rPr>
              <w:t>is;</w:t>
            </w:r>
            <w:proofErr w:type="gramEnd"/>
          </w:p>
          <w:p w14:paraId="7B804B76" w14:textId="77777777" w:rsidR="00AC3056" w:rsidRPr="00AC3056" w:rsidRDefault="00AC3056" w:rsidP="00AC3056">
            <w:pPr>
              <w:rPr>
                <w:rFonts w:ascii="Arial" w:hAnsi="Arial" w:cs="Arial"/>
                <w:sz w:val="24"/>
                <w:szCs w:val="24"/>
              </w:rPr>
            </w:pPr>
            <w:r w:rsidRPr="00AC3056">
              <w:rPr>
                <w:rFonts w:ascii="Arial" w:hAnsi="Arial" w:cs="Arial"/>
                <w:sz w:val="24"/>
                <w:szCs w:val="24"/>
              </w:rPr>
              <w:t>-Fixed term</w:t>
            </w:r>
          </w:p>
          <w:p w14:paraId="03DBE59B" w14:textId="77777777" w:rsidR="00AC3056" w:rsidRPr="00AC3056" w:rsidRDefault="00AC3056" w:rsidP="00AC3056">
            <w:pPr>
              <w:rPr>
                <w:rFonts w:ascii="Arial" w:hAnsi="Arial" w:cs="Arial"/>
                <w:sz w:val="24"/>
                <w:szCs w:val="24"/>
              </w:rPr>
            </w:pPr>
            <w:r w:rsidRPr="00AC3056">
              <w:rPr>
                <w:rFonts w:ascii="Arial" w:hAnsi="Arial" w:cs="Arial"/>
                <w:sz w:val="24"/>
                <w:szCs w:val="24"/>
              </w:rPr>
              <w:t>-Provides the target group an opportunity to develop skills and experience or</w:t>
            </w:r>
          </w:p>
          <w:p w14:paraId="260428FA" w14:textId="77777777" w:rsidR="00AC3056" w:rsidRPr="00AC3056" w:rsidRDefault="00AC3056" w:rsidP="00AC3056">
            <w:pPr>
              <w:rPr>
                <w:rFonts w:ascii="Arial" w:hAnsi="Arial" w:cs="Arial"/>
                <w:sz w:val="24"/>
                <w:szCs w:val="24"/>
              </w:rPr>
            </w:pPr>
            <w:r w:rsidRPr="00AC3056">
              <w:rPr>
                <w:rFonts w:ascii="Arial" w:hAnsi="Arial" w:cs="Arial"/>
                <w:sz w:val="24"/>
                <w:szCs w:val="24"/>
              </w:rPr>
              <w:t xml:space="preserve">-Provides an opportunity to access information and support to widen access and participation </w:t>
            </w:r>
          </w:p>
          <w:p w14:paraId="08A4C51B" w14:textId="77777777" w:rsidR="00AC3056" w:rsidRPr="00AC3056" w:rsidRDefault="00AC3056" w:rsidP="00AC3056">
            <w:pPr>
              <w:rPr>
                <w:rFonts w:ascii="Arial" w:hAnsi="Arial" w:cs="Arial"/>
                <w:sz w:val="24"/>
                <w:szCs w:val="24"/>
              </w:rPr>
            </w:pPr>
            <w:r w:rsidRPr="00AC3056">
              <w:rPr>
                <w:rFonts w:ascii="Arial" w:hAnsi="Arial" w:cs="Arial"/>
                <w:sz w:val="24"/>
                <w:szCs w:val="24"/>
              </w:rPr>
              <w:t xml:space="preserve">-If using the tie-breaker provision is </w:t>
            </w:r>
            <w:proofErr w:type="gramStart"/>
            <w:r w:rsidRPr="00AC3056">
              <w:rPr>
                <w:rFonts w:ascii="Arial" w:hAnsi="Arial" w:cs="Arial"/>
                <w:sz w:val="24"/>
                <w:szCs w:val="24"/>
              </w:rPr>
              <w:t>this a</w:t>
            </w:r>
            <w:proofErr w:type="gramEnd"/>
            <w:r w:rsidRPr="00AC3056">
              <w:rPr>
                <w:rFonts w:ascii="Arial" w:hAnsi="Arial" w:cs="Arial"/>
                <w:sz w:val="24"/>
                <w:szCs w:val="24"/>
              </w:rPr>
              <w:t xml:space="preserve"> proportionate means of achieving the aims specified by section 159 Equality Act 2010.</w:t>
            </w:r>
          </w:p>
          <w:p w14:paraId="777AC173" w14:textId="77777777" w:rsidR="00AC3056" w:rsidRDefault="00AC3056" w:rsidP="00AC3056">
            <w:pPr>
              <w:rPr>
                <w:rFonts w:ascii="Arial" w:hAnsi="Arial" w:cs="Arial"/>
                <w:sz w:val="24"/>
                <w:szCs w:val="24"/>
              </w:rPr>
            </w:pPr>
          </w:p>
        </w:tc>
        <w:tc>
          <w:tcPr>
            <w:tcW w:w="4235" w:type="dxa"/>
          </w:tcPr>
          <w:p w14:paraId="072C0CAC" w14:textId="77777777" w:rsidR="00AC3056" w:rsidRDefault="00AC3056" w:rsidP="00AC3056">
            <w:pPr>
              <w:rPr>
                <w:rFonts w:ascii="Arial" w:hAnsi="Arial" w:cs="Arial"/>
                <w:sz w:val="24"/>
                <w:szCs w:val="24"/>
              </w:rPr>
            </w:pPr>
          </w:p>
        </w:tc>
      </w:tr>
    </w:tbl>
    <w:p w14:paraId="02F32E19" w14:textId="77777777" w:rsidR="00AC3056" w:rsidRDefault="00AC3056" w:rsidP="00717960">
      <w:pPr>
        <w:rPr>
          <w:rFonts w:ascii="Arial" w:hAnsi="Arial" w:cs="Arial"/>
          <w:sz w:val="24"/>
          <w:szCs w:val="24"/>
        </w:rPr>
      </w:pPr>
    </w:p>
    <w:p w14:paraId="7EA6E519" w14:textId="77777777" w:rsidR="00AC3056" w:rsidRDefault="00AC3056" w:rsidP="00717960">
      <w:pPr>
        <w:rPr>
          <w:rFonts w:ascii="Arial" w:hAnsi="Arial" w:cs="Arial"/>
          <w:sz w:val="24"/>
          <w:szCs w:val="24"/>
        </w:rPr>
      </w:pPr>
    </w:p>
    <w:tbl>
      <w:tblPr>
        <w:tblStyle w:val="TableGrid"/>
        <w:tblW w:w="0" w:type="auto"/>
        <w:tblLook w:val="04A0" w:firstRow="1" w:lastRow="0" w:firstColumn="1" w:lastColumn="0" w:noHBand="0" w:noVBand="1"/>
      </w:tblPr>
      <w:tblGrid>
        <w:gridCol w:w="3964"/>
        <w:gridCol w:w="6237"/>
        <w:gridCol w:w="4377"/>
      </w:tblGrid>
      <w:tr w:rsidR="00AC3056" w14:paraId="1B333D86" w14:textId="77777777" w:rsidTr="00CE7AFA">
        <w:tc>
          <w:tcPr>
            <w:tcW w:w="3964" w:type="dxa"/>
          </w:tcPr>
          <w:p w14:paraId="6258EC28" w14:textId="7CB2B648" w:rsidR="00AC3056" w:rsidRDefault="00AC3056" w:rsidP="00AC3056">
            <w:pPr>
              <w:rPr>
                <w:rFonts w:ascii="Arial" w:hAnsi="Arial" w:cs="Arial"/>
                <w:sz w:val="24"/>
                <w:szCs w:val="24"/>
              </w:rPr>
            </w:pPr>
            <w:r w:rsidRPr="00AC3056">
              <w:rPr>
                <w:rFonts w:ascii="Arial" w:hAnsi="Arial" w:cs="Arial"/>
                <w:b/>
                <w:bCs/>
                <w:sz w:val="24"/>
                <w:szCs w:val="24"/>
              </w:rPr>
              <w:t>Key Considerations</w:t>
            </w:r>
          </w:p>
        </w:tc>
        <w:tc>
          <w:tcPr>
            <w:tcW w:w="6237" w:type="dxa"/>
          </w:tcPr>
          <w:p w14:paraId="0868A994" w14:textId="6F07E80E" w:rsidR="00AC3056" w:rsidRDefault="00AC3056" w:rsidP="00AC3056">
            <w:pPr>
              <w:rPr>
                <w:rFonts w:ascii="Arial" w:hAnsi="Arial" w:cs="Arial"/>
                <w:sz w:val="24"/>
                <w:szCs w:val="24"/>
              </w:rPr>
            </w:pPr>
            <w:r w:rsidRPr="00AC3056">
              <w:rPr>
                <w:rFonts w:ascii="Arial" w:hAnsi="Arial" w:cs="Arial"/>
                <w:b/>
                <w:bCs/>
                <w:sz w:val="24"/>
                <w:szCs w:val="24"/>
              </w:rPr>
              <w:t>Supporting references</w:t>
            </w:r>
          </w:p>
        </w:tc>
        <w:tc>
          <w:tcPr>
            <w:tcW w:w="4377" w:type="dxa"/>
          </w:tcPr>
          <w:p w14:paraId="323E4D96" w14:textId="1D5E63B0" w:rsidR="00AC3056" w:rsidRDefault="00AC3056" w:rsidP="00AC3056">
            <w:pPr>
              <w:rPr>
                <w:rFonts w:ascii="Arial" w:hAnsi="Arial" w:cs="Arial"/>
                <w:sz w:val="24"/>
                <w:szCs w:val="24"/>
              </w:rPr>
            </w:pPr>
            <w:r w:rsidRPr="00AC3056">
              <w:rPr>
                <w:rFonts w:ascii="Arial" w:hAnsi="Arial" w:cs="Arial"/>
                <w:b/>
                <w:bCs/>
                <w:sz w:val="24"/>
                <w:szCs w:val="24"/>
              </w:rPr>
              <w:t>Notes and Evidence</w:t>
            </w:r>
          </w:p>
        </w:tc>
      </w:tr>
      <w:tr w:rsidR="00AC3056" w14:paraId="4FE2213C" w14:textId="77777777" w:rsidTr="00CE7AFA">
        <w:tc>
          <w:tcPr>
            <w:tcW w:w="3964" w:type="dxa"/>
          </w:tcPr>
          <w:p w14:paraId="17CC02D7" w14:textId="77C34677" w:rsidR="00AC3056" w:rsidRDefault="00AC3056" w:rsidP="00AC3056">
            <w:pPr>
              <w:rPr>
                <w:rFonts w:ascii="Arial" w:hAnsi="Arial" w:cs="Arial"/>
                <w:sz w:val="24"/>
                <w:szCs w:val="24"/>
              </w:rPr>
            </w:pPr>
            <w:r w:rsidRPr="00AC3056">
              <w:rPr>
                <w:rFonts w:ascii="Arial" w:hAnsi="Arial" w:cs="Arial"/>
                <w:sz w:val="24"/>
                <w:szCs w:val="24"/>
              </w:rPr>
              <w:t>Speak to your EDI Lead to ensure this initiative is embedded in your organisation’s EDI action plan?</w:t>
            </w:r>
          </w:p>
        </w:tc>
        <w:tc>
          <w:tcPr>
            <w:tcW w:w="6237" w:type="dxa"/>
          </w:tcPr>
          <w:p w14:paraId="0895BEB0" w14:textId="19733DE4" w:rsidR="00AC3056" w:rsidRDefault="00AC3056" w:rsidP="00AC3056">
            <w:pPr>
              <w:rPr>
                <w:rFonts w:ascii="Arial" w:hAnsi="Arial" w:cs="Arial"/>
                <w:sz w:val="24"/>
                <w:szCs w:val="24"/>
              </w:rPr>
            </w:pPr>
            <w:r w:rsidRPr="00AC3056">
              <w:rPr>
                <w:rFonts w:ascii="Arial" w:hAnsi="Arial" w:cs="Arial"/>
                <w:sz w:val="24"/>
                <w:szCs w:val="24"/>
              </w:rPr>
              <w:t>Positive action is part of the BNSSG EDI priorities and action plan, which all BNSSG health and care partners have committed to.</w:t>
            </w:r>
          </w:p>
        </w:tc>
        <w:tc>
          <w:tcPr>
            <w:tcW w:w="4377" w:type="dxa"/>
          </w:tcPr>
          <w:p w14:paraId="73C10B79" w14:textId="77777777" w:rsidR="00AC3056" w:rsidRDefault="00AC3056" w:rsidP="00AC3056">
            <w:pPr>
              <w:rPr>
                <w:rFonts w:ascii="Arial" w:hAnsi="Arial" w:cs="Arial"/>
                <w:sz w:val="24"/>
                <w:szCs w:val="24"/>
              </w:rPr>
            </w:pPr>
          </w:p>
        </w:tc>
      </w:tr>
      <w:tr w:rsidR="00AC3056" w14:paraId="6B89B79D" w14:textId="77777777" w:rsidTr="00CE7AFA">
        <w:tc>
          <w:tcPr>
            <w:tcW w:w="3964" w:type="dxa"/>
          </w:tcPr>
          <w:p w14:paraId="3121D370" w14:textId="751A14A3" w:rsidR="00AC3056" w:rsidRDefault="00AC3056" w:rsidP="00AC3056">
            <w:pPr>
              <w:rPr>
                <w:rFonts w:ascii="Arial" w:hAnsi="Arial" w:cs="Arial"/>
                <w:sz w:val="24"/>
                <w:szCs w:val="24"/>
              </w:rPr>
            </w:pPr>
            <w:r w:rsidRPr="00AC3056">
              <w:rPr>
                <w:rFonts w:ascii="Arial" w:hAnsi="Arial" w:cs="Arial"/>
                <w:sz w:val="24"/>
                <w:szCs w:val="24"/>
              </w:rPr>
              <w:t>Recruitment - Speak to your Resourcing Team to agree positive action approach.</w:t>
            </w:r>
          </w:p>
        </w:tc>
        <w:tc>
          <w:tcPr>
            <w:tcW w:w="6237" w:type="dxa"/>
          </w:tcPr>
          <w:p w14:paraId="79B944F4" w14:textId="0496B5FE" w:rsidR="00AC3056" w:rsidRDefault="00AC3056" w:rsidP="00AC3056">
            <w:pPr>
              <w:rPr>
                <w:rFonts w:ascii="Arial" w:hAnsi="Arial" w:cs="Arial"/>
                <w:sz w:val="24"/>
                <w:szCs w:val="24"/>
              </w:rPr>
            </w:pPr>
            <w:r w:rsidRPr="00AC3056">
              <w:rPr>
                <w:rFonts w:ascii="Arial" w:hAnsi="Arial" w:cs="Arial"/>
                <w:sz w:val="24"/>
                <w:szCs w:val="24"/>
              </w:rPr>
              <w:t>Your Resourcing Team may be aware of or connected with additional channels to promote the opportunity to the target group/s.</w:t>
            </w:r>
          </w:p>
        </w:tc>
        <w:tc>
          <w:tcPr>
            <w:tcW w:w="4377" w:type="dxa"/>
          </w:tcPr>
          <w:p w14:paraId="5397399A" w14:textId="77777777" w:rsidR="00AC3056" w:rsidRDefault="00AC3056" w:rsidP="00AC3056">
            <w:pPr>
              <w:rPr>
                <w:rFonts w:ascii="Arial" w:hAnsi="Arial" w:cs="Arial"/>
                <w:sz w:val="24"/>
                <w:szCs w:val="24"/>
              </w:rPr>
            </w:pPr>
          </w:p>
        </w:tc>
      </w:tr>
      <w:tr w:rsidR="00AC3056" w14:paraId="147AF461" w14:textId="77777777" w:rsidTr="00CE7AFA">
        <w:tc>
          <w:tcPr>
            <w:tcW w:w="3964" w:type="dxa"/>
          </w:tcPr>
          <w:p w14:paraId="1D55E6BE" w14:textId="24D07FA8" w:rsidR="00AC3056" w:rsidRDefault="00AC3056" w:rsidP="00AC3056">
            <w:pPr>
              <w:rPr>
                <w:rFonts w:ascii="Arial" w:hAnsi="Arial" w:cs="Arial"/>
                <w:sz w:val="24"/>
                <w:szCs w:val="24"/>
              </w:rPr>
            </w:pPr>
            <w:r w:rsidRPr="00AC3056">
              <w:rPr>
                <w:rFonts w:ascii="Arial" w:hAnsi="Arial" w:cs="Arial"/>
                <w:sz w:val="24"/>
                <w:szCs w:val="24"/>
              </w:rPr>
              <w:t>Progression – Speak to your Learning and Development Team to agree the approach.</w:t>
            </w:r>
          </w:p>
        </w:tc>
        <w:tc>
          <w:tcPr>
            <w:tcW w:w="6237" w:type="dxa"/>
          </w:tcPr>
          <w:p w14:paraId="0381BF4C" w14:textId="6DBE1437" w:rsidR="00AC3056" w:rsidRDefault="00AC3056" w:rsidP="00AC3056">
            <w:pPr>
              <w:rPr>
                <w:rFonts w:ascii="Arial" w:hAnsi="Arial" w:cs="Arial"/>
                <w:sz w:val="24"/>
                <w:szCs w:val="24"/>
              </w:rPr>
            </w:pPr>
            <w:r w:rsidRPr="00AC3056">
              <w:rPr>
                <w:rFonts w:ascii="Arial" w:hAnsi="Arial" w:cs="Arial"/>
                <w:sz w:val="24"/>
                <w:szCs w:val="24"/>
              </w:rPr>
              <w:t>Your Learning and Development Team may be able to advise on the most suitable approach for your organisation.</w:t>
            </w:r>
          </w:p>
        </w:tc>
        <w:tc>
          <w:tcPr>
            <w:tcW w:w="4377" w:type="dxa"/>
          </w:tcPr>
          <w:p w14:paraId="239489E6" w14:textId="77777777" w:rsidR="00AC3056" w:rsidRDefault="00AC3056" w:rsidP="00AC3056">
            <w:pPr>
              <w:rPr>
                <w:rFonts w:ascii="Arial" w:hAnsi="Arial" w:cs="Arial"/>
                <w:sz w:val="24"/>
                <w:szCs w:val="24"/>
              </w:rPr>
            </w:pPr>
          </w:p>
        </w:tc>
      </w:tr>
      <w:tr w:rsidR="00AC3056" w14:paraId="14B648A2" w14:textId="77777777" w:rsidTr="00CE7AFA">
        <w:tc>
          <w:tcPr>
            <w:tcW w:w="3964" w:type="dxa"/>
          </w:tcPr>
          <w:p w14:paraId="301A670F" w14:textId="77777777" w:rsidR="00AC3056" w:rsidRPr="00AC3056" w:rsidRDefault="00AC3056" w:rsidP="00AC3056">
            <w:pPr>
              <w:rPr>
                <w:rFonts w:ascii="Arial" w:hAnsi="Arial" w:cs="Arial"/>
                <w:sz w:val="24"/>
                <w:szCs w:val="24"/>
              </w:rPr>
            </w:pPr>
            <w:r w:rsidRPr="00AC3056">
              <w:rPr>
                <w:rFonts w:ascii="Arial" w:hAnsi="Arial" w:cs="Arial"/>
                <w:sz w:val="24"/>
                <w:szCs w:val="24"/>
              </w:rPr>
              <w:t>Consult with relevant groups.</w:t>
            </w:r>
          </w:p>
          <w:p w14:paraId="4BFDED14" w14:textId="7FF085A2" w:rsidR="00AC3056" w:rsidRDefault="00AC3056" w:rsidP="00AC3056">
            <w:pPr>
              <w:rPr>
                <w:rFonts w:ascii="Arial" w:hAnsi="Arial" w:cs="Arial"/>
                <w:sz w:val="24"/>
                <w:szCs w:val="24"/>
              </w:rPr>
            </w:pPr>
            <w:r w:rsidRPr="00AC3056">
              <w:rPr>
                <w:rFonts w:ascii="Arial" w:hAnsi="Arial" w:cs="Arial"/>
                <w:sz w:val="24"/>
                <w:szCs w:val="24"/>
              </w:rPr>
              <w:t xml:space="preserve">Obtain </w:t>
            </w:r>
            <w:proofErr w:type="gramStart"/>
            <w:r w:rsidRPr="00AC3056">
              <w:rPr>
                <w:rFonts w:ascii="Arial" w:hAnsi="Arial" w:cs="Arial"/>
                <w:sz w:val="24"/>
                <w:szCs w:val="24"/>
              </w:rPr>
              <w:t>feedback, or</w:t>
            </w:r>
            <w:proofErr w:type="gramEnd"/>
            <w:r w:rsidRPr="00AC3056">
              <w:rPr>
                <w:rFonts w:ascii="Arial" w:hAnsi="Arial" w:cs="Arial"/>
                <w:sz w:val="24"/>
                <w:szCs w:val="24"/>
              </w:rPr>
              <w:t xml:space="preserve"> collaborate and design the intervention with the target group to ensure the offer is appropriate.</w:t>
            </w:r>
          </w:p>
        </w:tc>
        <w:tc>
          <w:tcPr>
            <w:tcW w:w="6237" w:type="dxa"/>
          </w:tcPr>
          <w:p w14:paraId="677CE8D0" w14:textId="49439A3A" w:rsidR="00AC3056" w:rsidRDefault="00AC3056" w:rsidP="00AC3056">
            <w:pPr>
              <w:rPr>
                <w:rFonts w:ascii="Arial" w:hAnsi="Arial" w:cs="Arial"/>
                <w:sz w:val="24"/>
                <w:szCs w:val="24"/>
              </w:rPr>
            </w:pPr>
            <w:r w:rsidRPr="00AC3056">
              <w:rPr>
                <w:rFonts w:ascii="Arial" w:hAnsi="Arial" w:cs="Arial"/>
                <w:sz w:val="24"/>
                <w:szCs w:val="24"/>
              </w:rPr>
              <w:t>Where possible, obtain feedback from groups that share the protected characteristic you are targeting, such as staff networks. You could obtain feedback via a survey or hold a feedback session with a group.</w:t>
            </w:r>
          </w:p>
        </w:tc>
        <w:tc>
          <w:tcPr>
            <w:tcW w:w="4377" w:type="dxa"/>
          </w:tcPr>
          <w:p w14:paraId="3DFC5784" w14:textId="77777777" w:rsidR="00AC3056" w:rsidRDefault="00AC3056" w:rsidP="00AC3056">
            <w:pPr>
              <w:rPr>
                <w:rFonts w:ascii="Arial" w:hAnsi="Arial" w:cs="Arial"/>
                <w:sz w:val="24"/>
                <w:szCs w:val="24"/>
              </w:rPr>
            </w:pPr>
          </w:p>
        </w:tc>
      </w:tr>
      <w:tr w:rsidR="00AC3056" w14:paraId="6FC1496A" w14:textId="77777777" w:rsidTr="00CE7AFA">
        <w:tc>
          <w:tcPr>
            <w:tcW w:w="3964" w:type="dxa"/>
          </w:tcPr>
          <w:p w14:paraId="3BA979E7" w14:textId="4D12185E" w:rsidR="00AC3056" w:rsidRPr="00AC3056" w:rsidRDefault="00AC3056" w:rsidP="00AC3056">
            <w:pPr>
              <w:rPr>
                <w:rFonts w:ascii="Arial" w:hAnsi="Arial" w:cs="Arial"/>
                <w:sz w:val="24"/>
                <w:szCs w:val="24"/>
              </w:rPr>
            </w:pPr>
            <w:r w:rsidRPr="00AC3056">
              <w:rPr>
                <w:rFonts w:ascii="Arial" w:hAnsi="Arial" w:cs="Arial"/>
                <w:sz w:val="24"/>
                <w:szCs w:val="24"/>
              </w:rPr>
              <w:t xml:space="preserve">Use the </w:t>
            </w:r>
            <w:hyperlink r:id="rId11" w:history="1">
              <w:r w:rsidRPr="00CE7AFA">
                <w:rPr>
                  <w:rStyle w:val="Hyperlink"/>
                  <w:rFonts w:ascii="Arial" w:hAnsi="Arial" w:cs="Arial"/>
                  <w:sz w:val="24"/>
                  <w:szCs w:val="24"/>
                </w:rPr>
                <w:t>BNSSG Employee Value Proposition (EVP)</w:t>
              </w:r>
            </w:hyperlink>
            <w:r w:rsidRPr="00AC3056">
              <w:rPr>
                <w:rFonts w:ascii="Arial" w:hAnsi="Arial" w:cs="Arial"/>
                <w:sz w:val="24"/>
                <w:szCs w:val="24"/>
              </w:rPr>
              <w:t xml:space="preserve"> in your promotional material.</w:t>
            </w:r>
          </w:p>
        </w:tc>
        <w:tc>
          <w:tcPr>
            <w:tcW w:w="6237" w:type="dxa"/>
          </w:tcPr>
          <w:p w14:paraId="568EAE6F" w14:textId="77777777" w:rsidR="00AC3056" w:rsidRPr="00AC3056" w:rsidRDefault="00AC3056" w:rsidP="00AC3056">
            <w:pPr>
              <w:rPr>
                <w:rFonts w:ascii="Arial" w:hAnsi="Arial" w:cs="Arial"/>
                <w:sz w:val="24"/>
                <w:szCs w:val="24"/>
              </w:rPr>
            </w:pPr>
            <w:r w:rsidRPr="00AC3056">
              <w:rPr>
                <w:rFonts w:ascii="Arial" w:hAnsi="Arial" w:cs="Arial"/>
                <w:sz w:val="24"/>
                <w:szCs w:val="24"/>
              </w:rPr>
              <w:t>The EVP provides a clear identity, a strong set of messages and a planning framework to support health and care employers to reach a diverse talent pool.</w:t>
            </w:r>
          </w:p>
          <w:p w14:paraId="6FB67632" w14:textId="3AC6B409" w:rsidR="00AC3056" w:rsidRPr="00AC3056" w:rsidRDefault="00AC3056" w:rsidP="00AC3056">
            <w:pPr>
              <w:rPr>
                <w:rFonts w:ascii="Arial" w:hAnsi="Arial" w:cs="Arial"/>
                <w:sz w:val="24"/>
                <w:szCs w:val="24"/>
              </w:rPr>
            </w:pPr>
            <w:r w:rsidRPr="00AC3056">
              <w:rPr>
                <w:rFonts w:ascii="Arial" w:hAnsi="Arial" w:cs="Arial"/>
                <w:sz w:val="24"/>
                <w:szCs w:val="24"/>
              </w:rPr>
              <w:t xml:space="preserve">Further resource available on the </w:t>
            </w:r>
            <w:hyperlink r:id="rId12" w:history="1">
              <w:r w:rsidRPr="00AC3056">
                <w:rPr>
                  <w:rStyle w:val="Hyperlink"/>
                  <w:rFonts w:ascii="Arial" w:hAnsi="Arial" w:cs="Arial"/>
                  <w:sz w:val="24"/>
                  <w:szCs w:val="24"/>
                </w:rPr>
                <w:t>NHS Futures space.</w:t>
              </w:r>
            </w:hyperlink>
          </w:p>
        </w:tc>
        <w:tc>
          <w:tcPr>
            <w:tcW w:w="4377" w:type="dxa"/>
          </w:tcPr>
          <w:p w14:paraId="45E14FDA" w14:textId="77777777" w:rsidR="00AC3056" w:rsidRDefault="00AC3056" w:rsidP="00AC3056">
            <w:pPr>
              <w:rPr>
                <w:rFonts w:ascii="Arial" w:hAnsi="Arial" w:cs="Arial"/>
                <w:sz w:val="24"/>
                <w:szCs w:val="24"/>
              </w:rPr>
            </w:pPr>
          </w:p>
        </w:tc>
      </w:tr>
      <w:tr w:rsidR="00AC3056" w14:paraId="2E04328A" w14:textId="77777777" w:rsidTr="00CE7AFA">
        <w:tc>
          <w:tcPr>
            <w:tcW w:w="3964" w:type="dxa"/>
          </w:tcPr>
          <w:p w14:paraId="7E3570F3" w14:textId="7213A17C" w:rsidR="00AC3056" w:rsidRPr="00AC3056" w:rsidRDefault="00AC3056" w:rsidP="00AC3056">
            <w:pPr>
              <w:rPr>
                <w:rFonts w:ascii="Arial" w:hAnsi="Arial" w:cs="Arial"/>
                <w:sz w:val="24"/>
                <w:szCs w:val="24"/>
              </w:rPr>
            </w:pPr>
            <w:r w:rsidRPr="00AC3056">
              <w:rPr>
                <w:rFonts w:ascii="Arial" w:hAnsi="Arial" w:cs="Arial"/>
                <w:sz w:val="24"/>
                <w:szCs w:val="24"/>
              </w:rPr>
              <w:t>Use a clear positive action statement in promotional material.</w:t>
            </w:r>
          </w:p>
        </w:tc>
        <w:tc>
          <w:tcPr>
            <w:tcW w:w="6237" w:type="dxa"/>
          </w:tcPr>
          <w:p w14:paraId="633B1A54" w14:textId="76270B94" w:rsidR="00AC3056" w:rsidRPr="00AC3056" w:rsidRDefault="00AC3056" w:rsidP="00AC3056">
            <w:pPr>
              <w:rPr>
                <w:rFonts w:ascii="Arial" w:hAnsi="Arial" w:cs="Arial"/>
                <w:sz w:val="24"/>
                <w:szCs w:val="24"/>
              </w:rPr>
            </w:pPr>
            <w:r w:rsidRPr="00AC3056">
              <w:rPr>
                <w:rFonts w:ascii="Arial" w:hAnsi="Arial" w:cs="Arial"/>
                <w:sz w:val="24"/>
                <w:szCs w:val="24"/>
              </w:rPr>
              <w:t>“This is a positive action opportunity open to [</w:t>
            </w:r>
            <w:r w:rsidRPr="00632F9E">
              <w:rPr>
                <w:rFonts w:ascii="Arial" w:hAnsi="Arial" w:cs="Arial"/>
                <w:color w:val="ED0000"/>
                <w:sz w:val="24"/>
                <w:szCs w:val="24"/>
              </w:rPr>
              <w:t>insert applicants/staff</w:t>
            </w:r>
            <w:r w:rsidRPr="00AC3056">
              <w:rPr>
                <w:rFonts w:ascii="Arial" w:hAnsi="Arial" w:cs="Arial"/>
                <w:sz w:val="24"/>
                <w:szCs w:val="24"/>
              </w:rPr>
              <w:t>] that identify as [</w:t>
            </w:r>
            <w:r w:rsidRPr="00632F9E">
              <w:rPr>
                <w:rFonts w:ascii="Arial" w:hAnsi="Arial" w:cs="Arial"/>
                <w:color w:val="ED0000"/>
                <w:sz w:val="24"/>
                <w:szCs w:val="24"/>
              </w:rPr>
              <w:t xml:space="preserve">insert protected characteristic(s)]. </w:t>
            </w:r>
            <w:r w:rsidRPr="00AC3056">
              <w:rPr>
                <w:rFonts w:ascii="Arial" w:hAnsi="Arial" w:cs="Arial"/>
                <w:sz w:val="24"/>
                <w:szCs w:val="24"/>
              </w:rPr>
              <w:t>Positive action is lawful under the Equality Act 2010 and employers and education providers can offer additional support for underrepresented and disadvantaged groups based on past discrimination”.</w:t>
            </w:r>
          </w:p>
        </w:tc>
        <w:tc>
          <w:tcPr>
            <w:tcW w:w="4377" w:type="dxa"/>
          </w:tcPr>
          <w:p w14:paraId="6D6DF2B0" w14:textId="77777777" w:rsidR="00AC3056" w:rsidRDefault="00AC3056" w:rsidP="00AC3056">
            <w:pPr>
              <w:rPr>
                <w:rFonts w:ascii="Arial" w:hAnsi="Arial" w:cs="Arial"/>
                <w:sz w:val="24"/>
                <w:szCs w:val="24"/>
              </w:rPr>
            </w:pPr>
          </w:p>
        </w:tc>
      </w:tr>
    </w:tbl>
    <w:p w14:paraId="1EE3B5D7" w14:textId="77777777" w:rsidR="00AC3056" w:rsidRDefault="00AC3056" w:rsidP="00717960">
      <w:pPr>
        <w:rPr>
          <w:rFonts w:ascii="Arial" w:hAnsi="Arial" w:cs="Arial"/>
          <w:sz w:val="24"/>
          <w:szCs w:val="24"/>
        </w:rPr>
      </w:pPr>
    </w:p>
    <w:tbl>
      <w:tblPr>
        <w:tblStyle w:val="TableGrid"/>
        <w:tblW w:w="0" w:type="auto"/>
        <w:tblLook w:val="04A0" w:firstRow="1" w:lastRow="0" w:firstColumn="1" w:lastColumn="0" w:noHBand="0" w:noVBand="1"/>
      </w:tblPr>
      <w:tblGrid>
        <w:gridCol w:w="3539"/>
        <w:gridCol w:w="6179"/>
        <w:gridCol w:w="4860"/>
      </w:tblGrid>
      <w:tr w:rsidR="00AC3056" w14:paraId="575EEC77" w14:textId="77777777" w:rsidTr="00632F9E">
        <w:tc>
          <w:tcPr>
            <w:tcW w:w="3539" w:type="dxa"/>
          </w:tcPr>
          <w:p w14:paraId="16FA69F2" w14:textId="40DA54F6" w:rsidR="00AC3056" w:rsidRDefault="00AC3056" w:rsidP="00AC3056">
            <w:pPr>
              <w:rPr>
                <w:rFonts w:ascii="Arial" w:hAnsi="Arial" w:cs="Arial"/>
                <w:sz w:val="24"/>
                <w:szCs w:val="24"/>
              </w:rPr>
            </w:pPr>
            <w:r w:rsidRPr="00AC3056">
              <w:rPr>
                <w:rFonts w:ascii="Arial" w:hAnsi="Arial" w:cs="Arial"/>
                <w:b/>
                <w:bCs/>
                <w:sz w:val="24"/>
                <w:szCs w:val="24"/>
              </w:rPr>
              <w:lastRenderedPageBreak/>
              <w:t>Key Considerations</w:t>
            </w:r>
          </w:p>
        </w:tc>
        <w:tc>
          <w:tcPr>
            <w:tcW w:w="6179" w:type="dxa"/>
          </w:tcPr>
          <w:p w14:paraId="1FBF3711" w14:textId="12FA3298" w:rsidR="00AC3056" w:rsidRDefault="00AC3056" w:rsidP="00AC3056">
            <w:pPr>
              <w:rPr>
                <w:rFonts w:ascii="Arial" w:hAnsi="Arial" w:cs="Arial"/>
                <w:sz w:val="24"/>
                <w:szCs w:val="24"/>
              </w:rPr>
            </w:pPr>
            <w:r w:rsidRPr="00AC3056">
              <w:rPr>
                <w:rFonts w:ascii="Arial" w:hAnsi="Arial" w:cs="Arial"/>
                <w:b/>
                <w:bCs/>
                <w:sz w:val="24"/>
                <w:szCs w:val="24"/>
              </w:rPr>
              <w:t>Supporting references</w:t>
            </w:r>
          </w:p>
        </w:tc>
        <w:tc>
          <w:tcPr>
            <w:tcW w:w="4860" w:type="dxa"/>
          </w:tcPr>
          <w:p w14:paraId="05B04BF7" w14:textId="2373AC44" w:rsidR="00AC3056" w:rsidRDefault="00AC3056" w:rsidP="00AC3056">
            <w:pPr>
              <w:rPr>
                <w:rFonts w:ascii="Arial" w:hAnsi="Arial" w:cs="Arial"/>
                <w:sz w:val="24"/>
                <w:szCs w:val="24"/>
              </w:rPr>
            </w:pPr>
            <w:r w:rsidRPr="00AC3056">
              <w:rPr>
                <w:rFonts w:ascii="Arial" w:hAnsi="Arial" w:cs="Arial"/>
                <w:b/>
                <w:bCs/>
                <w:sz w:val="24"/>
                <w:szCs w:val="24"/>
              </w:rPr>
              <w:t>Notes and Evidence</w:t>
            </w:r>
          </w:p>
        </w:tc>
      </w:tr>
      <w:tr w:rsidR="00AC3056" w14:paraId="256024DF" w14:textId="77777777" w:rsidTr="00632F9E">
        <w:tc>
          <w:tcPr>
            <w:tcW w:w="3539" w:type="dxa"/>
          </w:tcPr>
          <w:p w14:paraId="6FA271BC" w14:textId="103C2152" w:rsidR="00AC3056" w:rsidRDefault="00AC3056" w:rsidP="00AC3056">
            <w:pPr>
              <w:rPr>
                <w:rFonts w:ascii="Arial" w:hAnsi="Arial" w:cs="Arial"/>
                <w:sz w:val="24"/>
                <w:szCs w:val="24"/>
              </w:rPr>
            </w:pPr>
            <w:r w:rsidRPr="00AC3056">
              <w:rPr>
                <w:rFonts w:ascii="Arial" w:hAnsi="Arial" w:cs="Arial"/>
                <w:sz w:val="24"/>
                <w:szCs w:val="24"/>
              </w:rPr>
              <w:t>Consider how you will reach the target group for this opportunity.</w:t>
            </w:r>
          </w:p>
        </w:tc>
        <w:tc>
          <w:tcPr>
            <w:tcW w:w="6179" w:type="dxa"/>
          </w:tcPr>
          <w:p w14:paraId="6DD70EF1" w14:textId="77777777" w:rsidR="00AC3056" w:rsidRPr="00AC3056" w:rsidRDefault="00AC3056" w:rsidP="00AC3056">
            <w:pPr>
              <w:pStyle w:val="paragraph"/>
              <w:spacing w:before="0" w:beforeAutospacing="0" w:after="0" w:afterAutospacing="0"/>
              <w:textAlignment w:val="baseline"/>
              <w:rPr>
                <w:rFonts w:ascii="Arial" w:hAnsi="Arial" w:cs="Arial"/>
              </w:rPr>
            </w:pPr>
            <w:r w:rsidRPr="00AC3056">
              <w:rPr>
                <w:rStyle w:val="normaltextrun"/>
                <w:rFonts w:ascii="Arial" w:hAnsi="Arial" w:cs="Arial"/>
              </w:rPr>
              <w:t>To reach a wider talent pool, opportunities should be advertised on additional platforms outside of the organisation’s website or NHS jobs site. Consider the following: </w:t>
            </w:r>
            <w:r w:rsidRPr="00AC3056">
              <w:rPr>
                <w:rStyle w:val="eop"/>
                <w:rFonts w:ascii="Arial" w:hAnsi="Arial" w:cs="Arial"/>
              </w:rPr>
              <w:t> </w:t>
            </w:r>
          </w:p>
          <w:p w14:paraId="6E6530AE" w14:textId="77777777" w:rsidR="00AC3056" w:rsidRPr="00AC3056" w:rsidRDefault="00AC3056" w:rsidP="00AC3056">
            <w:pPr>
              <w:pStyle w:val="paragraph"/>
              <w:spacing w:before="0" w:beforeAutospacing="0" w:after="0" w:afterAutospacing="0"/>
              <w:textAlignment w:val="baseline"/>
              <w:rPr>
                <w:rFonts w:ascii="Arial" w:hAnsi="Arial" w:cs="Arial"/>
              </w:rPr>
            </w:pPr>
            <w:r w:rsidRPr="00AC3056">
              <w:rPr>
                <w:rStyle w:val="normaltextrun"/>
                <w:rFonts w:ascii="Arial" w:hAnsi="Arial" w:cs="Arial"/>
              </w:rPr>
              <w:t>-Local groups and networks are a great way to widen the reach</w:t>
            </w:r>
            <w:r w:rsidRPr="00AC3056">
              <w:rPr>
                <w:rStyle w:val="eop"/>
                <w:rFonts w:ascii="Arial" w:hAnsi="Arial" w:cs="Arial"/>
              </w:rPr>
              <w:t> </w:t>
            </w:r>
          </w:p>
          <w:p w14:paraId="3B096A3D" w14:textId="77777777" w:rsidR="00AC3056" w:rsidRPr="00AC3056" w:rsidRDefault="00AC3056" w:rsidP="00AC3056">
            <w:pPr>
              <w:pStyle w:val="paragraph"/>
              <w:spacing w:before="0" w:beforeAutospacing="0" w:after="0" w:afterAutospacing="0"/>
              <w:textAlignment w:val="baseline"/>
              <w:rPr>
                <w:rStyle w:val="eop"/>
                <w:rFonts w:ascii="Arial" w:hAnsi="Arial" w:cs="Arial"/>
              </w:rPr>
            </w:pPr>
            <w:r w:rsidRPr="00AC3056">
              <w:rPr>
                <w:rStyle w:val="normaltextrun"/>
                <w:rFonts w:ascii="Arial" w:hAnsi="Arial" w:cs="Arial"/>
              </w:rPr>
              <w:t>-Social media platforms such as LinkedIn, Twitter and Facebook to reach a wider audience and cross-generations.  </w:t>
            </w:r>
            <w:r w:rsidRPr="00AC3056">
              <w:rPr>
                <w:rStyle w:val="eop"/>
                <w:rFonts w:ascii="Arial" w:hAnsi="Arial" w:cs="Arial"/>
              </w:rPr>
              <w:t> </w:t>
            </w:r>
          </w:p>
          <w:p w14:paraId="733D76B5" w14:textId="77777777" w:rsidR="00AC3056" w:rsidRPr="00AC3056" w:rsidRDefault="00AC3056" w:rsidP="00AC3056">
            <w:pPr>
              <w:pStyle w:val="paragraph"/>
              <w:spacing w:before="0" w:beforeAutospacing="0" w:after="0" w:afterAutospacing="0"/>
              <w:textAlignment w:val="baseline"/>
              <w:rPr>
                <w:rFonts w:ascii="Arial" w:hAnsi="Arial" w:cs="Arial"/>
              </w:rPr>
            </w:pPr>
            <w:r w:rsidRPr="00AC3056">
              <w:rPr>
                <w:rStyle w:val="eop"/>
                <w:rFonts w:ascii="Arial" w:hAnsi="Arial" w:cs="Arial"/>
              </w:rPr>
              <w:t>-For social media, consider developing a promotional image with QR code and linked a web page with details.</w:t>
            </w:r>
          </w:p>
          <w:p w14:paraId="17FFE1B6" w14:textId="77777777" w:rsidR="00AC3056" w:rsidRPr="00AC3056" w:rsidRDefault="00AC3056" w:rsidP="00AC3056">
            <w:pPr>
              <w:pStyle w:val="paragraph"/>
              <w:spacing w:before="0" w:beforeAutospacing="0" w:after="0" w:afterAutospacing="0"/>
              <w:textAlignment w:val="baseline"/>
              <w:rPr>
                <w:rFonts w:ascii="Arial" w:hAnsi="Arial" w:cs="Arial"/>
              </w:rPr>
            </w:pPr>
            <w:r w:rsidRPr="00AC3056">
              <w:rPr>
                <w:rStyle w:val="normaltextrun"/>
                <w:rFonts w:ascii="Arial" w:hAnsi="Arial" w:cs="Arial"/>
              </w:rPr>
              <w:t>-</w:t>
            </w:r>
            <w:hyperlink r:id="rId13" w:history="1">
              <w:r w:rsidRPr="00AC3056">
                <w:rPr>
                  <w:rStyle w:val="Hyperlink"/>
                  <w:rFonts w:ascii="Arial" w:hAnsi="Arial" w:cs="Arial"/>
                  <w:color w:val="0000FF"/>
                </w:rPr>
                <w:t>Voscur job page</w:t>
              </w:r>
              <w:r w:rsidRPr="00AC3056">
                <w:rPr>
                  <w:rStyle w:val="Hyperlink"/>
                  <w:rFonts w:ascii="Arial" w:hAnsi="Arial" w:cs="Arial"/>
                </w:rPr>
                <w:t> </w:t>
              </w:r>
            </w:hyperlink>
            <w:r w:rsidRPr="00AC3056">
              <w:rPr>
                <w:rStyle w:val="eop"/>
                <w:rFonts w:ascii="Arial" w:hAnsi="Arial" w:cs="Arial"/>
              </w:rPr>
              <w:t>(Voscur is the support and development agency for Bristol's Voluntary, Community and Social Enterprise (VCSE) sector).</w:t>
            </w:r>
          </w:p>
          <w:p w14:paraId="4E82C295" w14:textId="77777777" w:rsidR="00AC3056" w:rsidRPr="00AC3056" w:rsidRDefault="00AC3056" w:rsidP="00AC3056">
            <w:pPr>
              <w:pStyle w:val="paragraph"/>
              <w:spacing w:before="0" w:beforeAutospacing="0" w:after="0" w:afterAutospacing="0"/>
              <w:textAlignment w:val="baseline"/>
              <w:rPr>
                <w:rFonts w:ascii="Arial" w:hAnsi="Arial" w:cs="Arial"/>
              </w:rPr>
            </w:pPr>
            <w:r w:rsidRPr="00AC3056">
              <w:rPr>
                <w:rStyle w:val="normaltextrun"/>
                <w:rFonts w:ascii="Arial" w:hAnsi="Arial" w:cs="Arial"/>
              </w:rPr>
              <w:t>-</w:t>
            </w:r>
            <w:hyperlink r:id="rId14" w:tgtFrame="_blank" w:history="1">
              <w:r w:rsidRPr="00AC3056">
                <w:rPr>
                  <w:rStyle w:val="normaltextrun"/>
                  <w:rFonts w:ascii="Arial" w:hAnsi="Arial" w:cs="Arial"/>
                  <w:color w:val="0000FF"/>
                  <w:u w:val="single"/>
                </w:rPr>
                <w:t>UWE Careers Hub</w:t>
              </w:r>
            </w:hyperlink>
            <w:r w:rsidRPr="00AC3056">
              <w:rPr>
                <w:rStyle w:val="normaltextrun"/>
                <w:rFonts w:ascii="Arial" w:hAnsi="Arial" w:cs="Arial"/>
              </w:rPr>
              <w:t xml:space="preserve"> to reach diverse recent graduates (up to 3 yrs)</w:t>
            </w:r>
            <w:r w:rsidRPr="00AC3056">
              <w:rPr>
                <w:rStyle w:val="eop"/>
                <w:rFonts w:ascii="Arial" w:hAnsi="Arial" w:cs="Arial"/>
              </w:rPr>
              <w:t> </w:t>
            </w:r>
          </w:p>
          <w:p w14:paraId="096FA234" w14:textId="77777777" w:rsidR="00AC3056" w:rsidRPr="00AC3056" w:rsidRDefault="00AC3056" w:rsidP="00AC3056">
            <w:pPr>
              <w:pStyle w:val="paragraph"/>
              <w:spacing w:before="0" w:beforeAutospacing="0" w:after="0" w:afterAutospacing="0"/>
              <w:textAlignment w:val="baseline"/>
              <w:rPr>
                <w:rFonts w:ascii="Arial" w:hAnsi="Arial" w:cs="Arial"/>
              </w:rPr>
            </w:pPr>
            <w:r w:rsidRPr="00AC3056">
              <w:rPr>
                <w:rStyle w:val="normaltextrun"/>
                <w:rFonts w:ascii="Arial" w:hAnsi="Arial" w:cs="Arial"/>
              </w:rPr>
              <w:t>-</w:t>
            </w:r>
            <w:hyperlink r:id="rId15" w:tgtFrame="_blank" w:history="1">
              <w:r w:rsidRPr="00AC3056">
                <w:rPr>
                  <w:rStyle w:val="normaltextrun"/>
                  <w:rFonts w:ascii="Arial" w:hAnsi="Arial" w:cs="Arial"/>
                  <w:color w:val="0000FF"/>
                  <w:u w:val="single"/>
                </w:rPr>
                <w:t>One Front Door</w:t>
              </w:r>
            </w:hyperlink>
            <w:r w:rsidRPr="00AC3056">
              <w:rPr>
                <w:rStyle w:val="normaltextrun"/>
                <w:rFonts w:ascii="Arial" w:hAnsi="Arial" w:cs="Arial"/>
              </w:rPr>
              <w:t xml:space="preserve"> – supporting disadvantaged groups through jobs fairs &amp; vacancy list</w:t>
            </w:r>
            <w:r w:rsidRPr="00AC3056">
              <w:rPr>
                <w:rStyle w:val="eop"/>
                <w:rFonts w:ascii="Arial" w:hAnsi="Arial" w:cs="Arial"/>
              </w:rPr>
              <w:t> </w:t>
            </w:r>
          </w:p>
          <w:p w14:paraId="68CE0D96" w14:textId="600DB419" w:rsidR="00AC3056" w:rsidRPr="00632F9E" w:rsidRDefault="00AC3056" w:rsidP="00AC3056">
            <w:pPr>
              <w:pStyle w:val="paragraph"/>
              <w:spacing w:before="0" w:beforeAutospacing="0" w:after="0" w:afterAutospacing="0"/>
              <w:textAlignment w:val="baseline"/>
              <w:rPr>
                <w:rStyle w:val="eop"/>
                <w:rFonts w:ascii="Arial" w:hAnsi="Arial" w:cs="Arial"/>
              </w:rPr>
            </w:pPr>
            <w:r w:rsidRPr="00AC3056">
              <w:rPr>
                <w:rStyle w:val="normaltextrun"/>
                <w:rFonts w:ascii="Arial" w:hAnsi="Arial" w:cs="Arial"/>
              </w:rPr>
              <w:t xml:space="preserve">-Add to LinkedIn and tag diverse organisations such as </w:t>
            </w:r>
            <w:hyperlink r:id="rId16" w:tgtFrame="_blank" w:history="1">
              <w:r w:rsidRPr="00AC3056">
                <w:rPr>
                  <w:rStyle w:val="normaltextrun"/>
                  <w:rFonts w:ascii="Arial" w:hAnsi="Arial" w:cs="Arial"/>
                  <w:color w:val="0000FF"/>
                  <w:u w:val="single"/>
                </w:rPr>
                <w:t>Black Professionals Network</w:t>
              </w:r>
            </w:hyperlink>
            <w:r w:rsidRPr="00AC3056">
              <w:rPr>
                <w:rStyle w:val="normaltextrun"/>
                <w:rFonts w:ascii="Arial" w:hAnsi="Arial" w:cs="Arial"/>
              </w:rPr>
              <w:t xml:space="preserve">, </w:t>
            </w:r>
            <w:hyperlink r:id="rId17" w:tgtFrame="_blank" w:history="1">
              <w:r w:rsidRPr="00AC3056">
                <w:rPr>
                  <w:rStyle w:val="normaltextrun"/>
                  <w:rFonts w:ascii="Arial" w:hAnsi="Arial" w:cs="Arial"/>
                  <w:color w:val="0000FF"/>
                  <w:u w:val="single"/>
                </w:rPr>
                <w:t>WECIL</w:t>
              </w:r>
            </w:hyperlink>
            <w:r w:rsidRPr="00AC3056">
              <w:rPr>
                <w:rStyle w:val="normaltextrun"/>
                <w:rFonts w:ascii="Arial" w:hAnsi="Arial" w:cs="Arial"/>
              </w:rPr>
              <w:t xml:space="preserve"> and other inclusive hashtags and connected people.</w:t>
            </w:r>
            <w:r w:rsidRPr="00AC3056">
              <w:rPr>
                <w:rStyle w:val="eop"/>
                <w:rFonts w:ascii="Arial" w:hAnsi="Arial" w:cs="Arial"/>
              </w:rPr>
              <w:t> </w:t>
            </w:r>
          </w:p>
          <w:p w14:paraId="55B65A49" w14:textId="77777777" w:rsidR="00AC3056" w:rsidRDefault="00AC3056" w:rsidP="00AC3056">
            <w:pPr>
              <w:pStyle w:val="paragraph"/>
              <w:spacing w:before="0" w:beforeAutospacing="0" w:after="0" w:afterAutospacing="0"/>
              <w:textAlignment w:val="baseline"/>
              <w:rPr>
                <w:rStyle w:val="eop"/>
                <w:b/>
                <w:bCs/>
              </w:rPr>
            </w:pPr>
          </w:p>
          <w:p w14:paraId="7DB070C0" w14:textId="43EC278E" w:rsidR="00AC3056" w:rsidRPr="00AC3056" w:rsidRDefault="00AC3056" w:rsidP="00AC3056">
            <w:pPr>
              <w:pStyle w:val="paragraph"/>
              <w:spacing w:before="0" w:beforeAutospacing="0" w:after="0" w:afterAutospacing="0"/>
              <w:textAlignment w:val="baseline"/>
              <w:rPr>
                <w:rFonts w:ascii="Arial" w:hAnsi="Arial" w:cs="Arial"/>
                <w:b/>
                <w:bCs/>
              </w:rPr>
            </w:pPr>
            <w:r w:rsidRPr="00AC3056">
              <w:rPr>
                <w:rStyle w:val="eop"/>
                <w:rFonts w:ascii="Arial" w:hAnsi="Arial" w:cs="Arial"/>
                <w:b/>
                <w:bCs/>
              </w:rPr>
              <w:t>Opportunities for internal and external candidates</w:t>
            </w:r>
          </w:p>
          <w:p w14:paraId="45F237B3" w14:textId="74E275CD" w:rsidR="00AC3056" w:rsidRDefault="00AC3056" w:rsidP="00AC3056">
            <w:pPr>
              <w:rPr>
                <w:rFonts w:ascii="Arial" w:hAnsi="Arial" w:cs="Arial"/>
                <w:sz w:val="24"/>
                <w:szCs w:val="24"/>
              </w:rPr>
            </w:pPr>
            <w:r w:rsidRPr="00AC3056">
              <w:rPr>
                <w:rStyle w:val="normaltextrun"/>
                <w:rFonts w:ascii="Arial" w:hAnsi="Arial" w:cs="Arial"/>
                <w:sz w:val="24"/>
                <w:szCs w:val="24"/>
              </w:rPr>
              <w:t xml:space="preserve">-Share the opportunities that you want to spotlight with staff networks across the BNSSG system. Staff network members are often connected with local community groups and often share through word of mouth. E-mail details to </w:t>
            </w:r>
            <w:hyperlink r:id="rId18" w:tgtFrame="_blank" w:history="1">
              <w:r w:rsidRPr="00AC3056">
                <w:rPr>
                  <w:rStyle w:val="normaltextrun"/>
                  <w:rFonts w:ascii="Arial" w:hAnsi="Arial" w:cs="Arial"/>
                  <w:color w:val="0000FF"/>
                  <w:sz w:val="24"/>
                  <w:szCs w:val="24"/>
                  <w:u w:val="single"/>
                </w:rPr>
                <w:t>calais.hutchins1@nhs.net</w:t>
              </w:r>
            </w:hyperlink>
            <w:r w:rsidRPr="00AC3056">
              <w:rPr>
                <w:rStyle w:val="normaltextrun"/>
                <w:rFonts w:ascii="Arial" w:hAnsi="Arial" w:cs="Arial"/>
                <w:sz w:val="24"/>
                <w:szCs w:val="24"/>
              </w:rPr>
              <w:t xml:space="preserve"> (Healthier Together EDI Team) and the opportunity will be included in the monthly Staff Networks Newsletter. </w:t>
            </w:r>
            <w:r w:rsidRPr="00AC3056">
              <w:rPr>
                <w:rStyle w:val="eop"/>
                <w:rFonts w:ascii="Arial" w:hAnsi="Arial" w:cs="Arial"/>
                <w:sz w:val="24"/>
                <w:szCs w:val="24"/>
              </w:rPr>
              <w:t> </w:t>
            </w:r>
          </w:p>
        </w:tc>
        <w:tc>
          <w:tcPr>
            <w:tcW w:w="4860" w:type="dxa"/>
          </w:tcPr>
          <w:p w14:paraId="784FB859" w14:textId="77777777" w:rsidR="00AC3056" w:rsidRDefault="00AC3056" w:rsidP="00AC3056">
            <w:pPr>
              <w:rPr>
                <w:rFonts w:ascii="Arial" w:hAnsi="Arial" w:cs="Arial"/>
                <w:sz w:val="24"/>
                <w:szCs w:val="24"/>
              </w:rPr>
            </w:pPr>
          </w:p>
        </w:tc>
      </w:tr>
      <w:tr w:rsidR="00AC3056" w14:paraId="73C54517" w14:textId="77777777" w:rsidTr="00632F9E">
        <w:tc>
          <w:tcPr>
            <w:tcW w:w="3539" w:type="dxa"/>
          </w:tcPr>
          <w:p w14:paraId="74734045" w14:textId="2ECE23A6" w:rsidR="00AC3056" w:rsidRDefault="00AC3056" w:rsidP="00AC3056">
            <w:pPr>
              <w:rPr>
                <w:rFonts w:ascii="Arial" w:hAnsi="Arial" w:cs="Arial"/>
                <w:sz w:val="24"/>
                <w:szCs w:val="24"/>
              </w:rPr>
            </w:pPr>
            <w:r w:rsidRPr="00AC3056">
              <w:rPr>
                <w:rFonts w:ascii="Arial" w:hAnsi="Arial" w:cs="Arial"/>
                <w:sz w:val="24"/>
                <w:szCs w:val="24"/>
              </w:rPr>
              <w:lastRenderedPageBreak/>
              <w:t>Evaluation and sharing outcomes.</w:t>
            </w:r>
          </w:p>
        </w:tc>
        <w:tc>
          <w:tcPr>
            <w:tcW w:w="6179" w:type="dxa"/>
          </w:tcPr>
          <w:p w14:paraId="353A599E" w14:textId="77777777" w:rsidR="00AC3056" w:rsidRPr="00AC3056" w:rsidRDefault="00AC3056" w:rsidP="00AC3056">
            <w:pPr>
              <w:pStyle w:val="paragraph"/>
              <w:spacing w:before="0" w:beforeAutospacing="0" w:after="0" w:afterAutospacing="0"/>
              <w:textAlignment w:val="baseline"/>
              <w:rPr>
                <w:rStyle w:val="normaltextrun"/>
                <w:rFonts w:ascii="Arial" w:hAnsi="Arial" w:cs="Arial"/>
              </w:rPr>
            </w:pPr>
            <w:r w:rsidRPr="00AC3056">
              <w:rPr>
                <w:rStyle w:val="normaltextrun"/>
                <w:rFonts w:ascii="Arial" w:hAnsi="Arial" w:cs="Arial"/>
              </w:rPr>
              <w:t xml:space="preserve">The opportunity should be evaluated to measure outcomes and impact. </w:t>
            </w:r>
          </w:p>
          <w:p w14:paraId="1A8CD2B9" w14:textId="77777777" w:rsidR="00AC3056" w:rsidRPr="00AC3056" w:rsidRDefault="00AC3056" w:rsidP="00AC3056">
            <w:pPr>
              <w:pStyle w:val="paragraph"/>
              <w:spacing w:before="0" w:beforeAutospacing="0" w:after="0" w:afterAutospacing="0"/>
              <w:textAlignment w:val="baseline"/>
              <w:rPr>
                <w:rStyle w:val="normaltextrun"/>
                <w:rFonts w:ascii="Arial" w:hAnsi="Arial" w:cs="Arial"/>
              </w:rPr>
            </w:pPr>
            <w:r w:rsidRPr="00AC3056">
              <w:rPr>
                <w:rStyle w:val="normaltextrun"/>
                <w:rFonts w:ascii="Arial" w:hAnsi="Arial" w:cs="Arial"/>
              </w:rPr>
              <w:t>Review progress of the measures towards the aim to ensure it remains proportionate.</w:t>
            </w:r>
          </w:p>
          <w:p w14:paraId="277CD242" w14:textId="77777777" w:rsidR="00AC3056" w:rsidRPr="00AC3056" w:rsidRDefault="00AC3056" w:rsidP="00AC3056">
            <w:pPr>
              <w:pStyle w:val="paragraph"/>
              <w:spacing w:before="0" w:beforeAutospacing="0" w:after="0" w:afterAutospacing="0"/>
              <w:textAlignment w:val="baseline"/>
              <w:rPr>
                <w:rStyle w:val="normaltextrun"/>
                <w:rFonts w:ascii="Arial" w:hAnsi="Arial" w:cs="Arial"/>
              </w:rPr>
            </w:pPr>
          </w:p>
          <w:p w14:paraId="04759F4A" w14:textId="7A9AF9A7" w:rsidR="00AC3056" w:rsidRDefault="00AC3056" w:rsidP="00AC3056">
            <w:pPr>
              <w:rPr>
                <w:rFonts w:ascii="Arial" w:hAnsi="Arial" w:cs="Arial"/>
                <w:sz w:val="24"/>
                <w:szCs w:val="24"/>
              </w:rPr>
            </w:pPr>
            <w:r w:rsidRPr="00AC3056">
              <w:rPr>
                <w:rStyle w:val="normaltextrun"/>
                <w:rFonts w:ascii="Arial" w:hAnsi="Arial" w:cs="Arial"/>
                <w:sz w:val="24"/>
                <w:szCs w:val="24"/>
              </w:rPr>
              <w:t>Inspire health and care partners to develop positive action initiatives by sharing the outcomes of your opportunity with the BNSSG EDI Team (</w:t>
            </w:r>
            <w:hyperlink r:id="rId19" w:history="1">
              <w:r w:rsidRPr="00AC3056">
                <w:rPr>
                  <w:rStyle w:val="Hyperlink"/>
                  <w:sz w:val="24"/>
                  <w:szCs w:val="24"/>
                </w:rPr>
                <w:t>bnssg.inclusion@nhs.net</w:t>
              </w:r>
            </w:hyperlink>
            <w:r w:rsidRPr="00AC3056">
              <w:rPr>
                <w:rStyle w:val="normaltextrun"/>
                <w:sz w:val="24"/>
                <w:szCs w:val="24"/>
              </w:rPr>
              <w:t>)</w:t>
            </w:r>
            <w:r w:rsidRPr="00AC3056">
              <w:rPr>
                <w:rStyle w:val="normaltextrun"/>
                <w:rFonts w:ascii="Arial" w:hAnsi="Arial" w:cs="Arial"/>
                <w:sz w:val="24"/>
                <w:szCs w:val="24"/>
              </w:rPr>
              <w:t xml:space="preserve"> </w:t>
            </w:r>
          </w:p>
        </w:tc>
        <w:tc>
          <w:tcPr>
            <w:tcW w:w="4860" w:type="dxa"/>
          </w:tcPr>
          <w:p w14:paraId="2F6C960D" w14:textId="77777777" w:rsidR="00AC3056" w:rsidRDefault="00AC3056" w:rsidP="00AC3056">
            <w:pPr>
              <w:rPr>
                <w:rFonts w:ascii="Arial" w:hAnsi="Arial" w:cs="Arial"/>
                <w:sz w:val="24"/>
                <w:szCs w:val="24"/>
              </w:rPr>
            </w:pPr>
          </w:p>
        </w:tc>
      </w:tr>
    </w:tbl>
    <w:p w14:paraId="0EF433F7" w14:textId="77777777" w:rsidR="00AC3056" w:rsidRPr="00D324C6" w:rsidRDefault="00AC3056" w:rsidP="00717960">
      <w:pPr>
        <w:rPr>
          <w:rFonts w:ascii="Arial" w:hAnsi="Arial" w:cs="Arial"/>
          <w:sz w:val="24"/>
          <w:szCs w:val="24"/>
        </w:rPr>
      </w:pPr>
    </w:p>
    <w:sectPr w:rsidR="00AC3056" w:rsidRPr="00D324C6" w:rsidSect="00AC3056">
      <w:headerReference w:type="default" r:id="rId20"/>
      <w:footerReference w:type="default" r:id="rId21"/>
      <w:pgSz w:w="16838" w:h="11906" w:orient="landscape"/>
      <w:pgMar w:top="1196" w:right="820" w:bottom="1440" w:left="810" w:header="54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08C7A1" w14:textId="77777777" w:rsidR="00B73EC9" w:rsidRDefault="00B73EC9" w:rsidP="00717960">
      <w:pPr>
        <w:spacing w:after="0" w:line="240" w:lineRule="auto"/>
      </w:pPr>
      <w:r>
        <w:separator/>
      </w:r>
    </w:p>
  </w:endnote>
  <w:endnote w:type="continuationSeparator" w:id="0">
    <w:p w14:paraId="1ACC3E29" w14:textId="77777777" w:rsidR="00B73EC9" w:rsidRDefault="00B73EC9" w:rsidP="007179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7110154"/>
      <w:docPartObj>
        <w:docPartGallery w:val="Page Numbers (Bottom of Page)"/>
        <w:docPartUnique/>
      </w:docPartObj>
    </w:sdtPr>
    <w:sdtEndPr>
      <w:rPr>
        <w:noProof/>
      </w:rPr>
    </w:sdtEndPr>
    <w:sdtContent>
      <w:p w14:paraId="23EAE50E" w14:textId="77777777" w:rsidR="0042231A" w:rsidRDefault="0042231A">
        <w:pPr>
          <w:pStyle w:val="Footer"/>
          <w:jc w:val="right"/>
        </w:pPr>
        <w:r>
          <w:fldChar w:fldCharType="begin"/>
        </w:r>
        <w:r>
          <w:instrText xml:space="preserve"> PAGE   \* MERGEFORMAT </w:instrText>
        </w:r>
        <w:r>
          <w:fldChar w:fldCharType="separate"/>
        </w:r>
        <w:r w:rsidR="00B46236">
          <w:rPr>
            <w:noProof/>
          </w:rPr>
          <w:t>1</w:t>
        </w:r>
        <w:r>
          <w:rPr>
            <w:noProof/>
          </w:rPr>
          <w:fldChar w:fldCharType="end"/>
        </w:r>
      </w:p>
    </w:sdtContent>
  </w:sdt>
  <w:p w14:paraId="05621252" w14:textId="77777777" w:rsidR="0042231A" w:rsidRDefault="004223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600108" w14:textId="77777777" w:rsidR="00B73EC9" w:rsidRDefault="00B73EC9" w:rsidP="00717960">
      <w:pPr>
        <w:spacing w:after="0" w:line="240" w:lineRule="auto"/>
      </w:pPr>
      <w:r>
        <w:separator/>
      </w:r>
    </w:p>
  </w:footnote>
  <w:footnote w:type="continuationSeparator" w:id="0">
    <w:p w14:paraId="1E00D557" w14:textId="77777777" w:rsidR="00B73EC9" w:rsidRDefault="00B73EC9" w:rsidP="007179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9E0CC" w14:textId="6264F520" w:rsidR="00717960" w:rsidRPr="00F107DF" w:rsidRDefault="00AC3056" w:rsidP="00AC3056">
    <w:pPr>
      <w:pStyle w:val="Header"/>
      <w:ind w:left="-142" w:right="-580"/>
    </w:pPr>
    <w:r>
      <w:rPr>
        <w:noProof/>
      </w:rPr>
      <mc:AlternateContent>
        <mc:Choice Requires="wps">
          <w:drawing>
            <wp:anchor distT="45720" distB="45720" distL="114300" distR="114300" simplePos="0" relativeHeight="251659264" behindDoc="0" locked="0" layoutInCell="1" allowOverlap="1" wp14:anchorId="561CA809" wp14:editId="047B9F2E">
              <wp:simplePos x="0" y="0"/>
              <wp:positionH relativeFrom="margin">
                <wp:posOffset>7683500</wp:posOffset>
              </wp:positionH>
              <wp:positionV relativeFrom="paragraph">
                <wp:posOffset>-152400</wp:posOffset>
              </wp:positionV>
              <wp:extent cx="2457450" cy="8445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0" cy="844550"/>
                      </a:xfrm>
                      <a:prstGeom prst="rect">
                        <a:avLst/>
                      </a:prstGeom>
                      <a:solidFill>
                        <a:srgbClr val="FFFFFF"/>
                      </a:solidFill>
                      <a:ln w="9525">
                        <a:noFill/>
                        <a:miter lim="800000"/>
                        <a:headEnd/>
                        <a:tailEnd/>
                      </a:ln>
                    </wps:spPr>
                    <wps:txbx>
                      <w:txbxContent>
                        <w:p w14:paraId="2B4D878A" w14:textId="3FB209AE" w:rsidR="00AC3056" w:rsidRDefault="00AC3056">
                          <w:r>
                            <w:rPr>
                              <w:noProof/>
                            </w:rPr>
                            <w:drawing>
                              <wp:inline distT="0" distB="0" distL="0" distR="0" wp14:anchorId="2C2A3AE5" wp14:editId="152BF37C">
                                <wp:extent cx="2190750" cy="730250"/>
                                <wp:effectExtent l="0" t="0" r="0" b="0"/>
                                <wp:docPr id="2004518444" name="Picture 2" descr="NHS Bristol, North Somerset and South Gloucestershire Integrated Car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4518444" name="Picture 2" descr="NHS Bristol, North Somerset and South Gloucestershire Integrated Care Board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0" cy="730250"/>
                                        </a:xfrm>
                                        <a:prstGeom prst="rect">
                                          <a:avLst/>
                                        </a:prstGeom>
                                        <a:noFill/>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1CA809" id="_x0000_t202" coordsize="21600,21600" o:spt="202" path="m,l,21600r21600,l21600,xe">
              <v:stroke joinstyle="miter"/>
              <v:path gradientshapeok="t" o:connecttype="rect"/>
            </v:shapetype>
            <v:shape id="Text Box 2" o:spid="_x0000_s1026" type="#_x0000_t202" style="position:absolute;left:0;text-align:left;margin-left:605pt;margin-top:-12pt;width:193.5pt;height:66.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" stroked="f">
              <v:textbox>
                <w:txbxContent>
                  <w:p w14:paraId="2B4D878A" w14:textId="3FB209AE" w:rsidR="00AC3056" w:rsidRDefault="00AC3056">
                    <w:r>
                      <w:rPr>
                        <w:noProof/>
                      </w:rPr>
                      <w:drawing>
                        <wp:inline distT="0" distB="0" distL="0" distR="0" wp14:anchorId="2C2A3AE5" wp14:editId="152BF37C">
                          <wp:extent cx="2190750" cy="730250"/>
                          <wp:effectExtent l="0" t="0" r="0" b="0"/>
                          <wp:docPr id="2004518444" name="Picture 2" descr="NHS Bristol, North Somerset and South Gloucestershire Integrated Car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4518444" name="Picture 2" descr="NHS Bristol, North Somerset and South Gloucestershire Integrated Care Board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90750" cy="730250"/>
                                  </a:xfrm>
                                  <a:prstGeom prst="rect">
                                    <a:avLst/>
                                  </a:prstGeom>
                                  <a:noFill/>
                                </pic:spPr>
                              </pic:pic>
                            </a:graphicData>
                          </a:graphic>
                        </wp:inline>
                      </w:drawing>
                    </w:r>
                  </w:p>
                </w:txbxContent>
              </v:textbox>
              <w10:wrap type="square" anchorx="margin"/>
            </v:shape>
          </w:pict>
        </mc:Fallback>
      </mc:AlternateContent>
    </w:r>
    <w:r w:rsidR="00541D9D">
      <w:rPr>
        <w:noProof/>
      </w:rPr>
      <w:drawing>
        <wp:inline distT="0" distB="0" distL="0" distR="0" wp14:anchorId="35ED84B3" wp14:editId="4DD3949C">
          <wp:extent cx="2724150" cy="596630"/>
          <wp:effectExtent l="0" t="0" r="0" b="0"/>
          <wp:docPr id="206173686" name="Picture 1" descr="Healthier Togeth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173686" name="Picture 1" descr="Healthier Together log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739021" cy="599887"/>
                  </a:xfrm>
                  <a:prstGeom prst="rect">
                    <a:avLst/>
                  </a:prstGeom>
                  <a:noFill/>
                </pic:spPr>
              </pic:pic>
            </a:graphicData>
          </a:graphic>
        </wp:inline>
      </w:drawing>
    </w:r>
    <w:r w:rsidR="00541D9D">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535D8C"/>
    <w:multiLevelType w:val="hybridMultilevel"/>
    <w:tmpl w:val="33721FE4"/>
    <w:lvl w:ilvl="0" w:tplc="F374742A">
      <w:start w:val="1"/>
      <w:numFmt w:val="decimal"/>
      <w:lvlText w:val="%1."/>
      <w:lvlJc w:val="left"/>
      <w:pPr>
        <w:ind w:left="720" w:hanging="360"/>
      </w:pPr>
    </w:lvl>
    <w:lvl w:ilvl="1" w:tplc="E70EA0D0">
      <w:start w:val="1"/>
      <w:numFmt w:val="lowerLetter"/>
      <w:lvlText w:val="%2."/>
      <w:lvlJc w:val="left"/>
      <w:pPr>
        <w:ind w:left="1440" w:hanging="360"/>
      </w:pPr>
    </w:lvl>
    <w:lvl w:ilvl="2" w:tplc="EDCC3802">
      <w:start w:val="1"/>
      <w:numFmt w:val="lowerRoman"/>
      <w:lvlText w:val="%3."/>
      <w:lvlJc w:val="right"/>
      <w:pPr>
        <w:ind w:left="2160" w:hanging="180"/>
      </w:pPr>
    </w:lvl>
    <w:lvl w:ilvl="3" w:tplc="0D642844">
      <w:start w:val="1"/>
      <w:numFmt w:val="decimal"/>
      <w:lvlText w:val="%4."/>
      <w:lvlJc w:val="left"/>
      <w:pPr>
        <w:ind w:left="2880" w:hanging="360"/>
      </w:pPr>
    </w:lvl>
    <w:lvl w:ilvl="4" w:tplc="1D0834EE">
      <w:start w:val="1"/>
      <w:numFmt w:val="lowerLetter"/>
      <w:lvlText w:val="%5."/>
      <w:lvlJc w:val="left"/>
      <w:pPr>
        <w:ind w:left="3600" w:hanging="360"/>
      </w:pPr>
    </w:lvl>
    <w:lvl w:ilvl="5" w:tplc="1C4250C2">
      <w:start w:val="1"/>
      <w:numFmt w:val="lowerRoman"/>
      <w:lvlText w:val="%6."/>
      <w:lvlJc w:val="right"/>
      <w:pPr>
        <w:ind w:left="4320" w:hanging="180"/>
      </w:pPr>
    </w:lvl>
    <w:lvl w:ilvl="6" w:tplc="84B23B3E">
      <w:start w:val="1"/>
      <w:numFmt w:val="decimal"/>
      <w:lvlText w:val="%7."/>
      <w:lvlJc w:val="left"/>
      <w:pPr>
        <w:ind w:left="5040" w:hanging="360"/>
      </w:pPr>
    </w:lvl>
    <w:lvl w:ilvl="7" w:tplc="353486CA">
      <w:start w:val="1"/>
      <w:numFmt w:val="lowerLetter"/>
      <w:lvlText w:val="%8."/>
      <w:lvlJc w:val="left"/>
      <w:pPr>
        <w:ind w:left="5760" w:hanging="360"/>
      </w:pPr>
    </w:lvl>
    <w:lvl w:ilvl="8" w:tplc="911E9EBE">
      <w:start w:val="1"/>
      <w:numFmt w:val="lowerRoman"/>
      <w:lvlText w:val="%9."/>
      <w:lvlJc w:val="right"/>
      <w:pPr>
        <w:ind w:left="6480" w:hanging="180"/>
      </w:pPr>
    </w:lvl>
  </w:abstractNum>
  <w:num w:numId="1" w16cid:durableId="1829780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BB9"/>
    <w:rsid w:val="00060827"/>
    <w:rsid w:val="000A1BB3"/>
    <w:rsid w:val="00134C10"/>
    <w:rsid w:val="0021486D"/>
    <w:rsid w:val="002223F6"/>
    <w:rsid w:val="002E0D46"/>
    <w:rsid w:val="00356C3C"/>
    <w:rsid w:val="0042231A"/>
    <w:rsid w:val="00497055"/>
    <w:rsid w:val="00541D9D"/>
    <w:rsid w:val="00595F8C"/>
    <w:rsid w:val="00596B2E"/>
    <w:rsid w:val="005C493D"/>
    <w:rsid w:val="00632F9E"/>
    <w:rsid w:val="006E3853"/>
    <w:rsid w:val="00717960"/>
    <w:rsid w:val="00740E9B"/>
    <w:rsid w:val="007F4133"/>
    <w:rsid w:val="007F6487"/>
    <w:rsid w:val="009F0BB9"/>
    <w:rsid w:val="009F11FE"/>
    <w:rsid w:val="00AC3056"/>
    <w:rsid w:val="00AD2B1E"/>
    <w:rsid w:val="00B46236"/>
    <w:rsid w:val="00B53AD2"/>
    <w:rsid w:val="00B5787A"/>
    <w:rsid w:val="00B73EC9"/>
    <w:rsid w:val="00C37592"/>
    <w:rsid w:val="00C563D3"/>
    <w:rsid w:val="00CB09DD"/>
    <w:rsid w:val="00CB5273"/>
    <w:rsid w:val="00CE7AFA"/>
    <w:rsid w:val="00D324C6"/>
    <w:rsid w:val="00D42CDF"/>
    <w:rsid w:val="00D72723"/>
    <w:rsid w:val="00F107DF"/>
    <w:rsid w:val="00F95C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ADB617"/>
  <w15:docId w15:val="{FF537BA8-B1CB-4184-BB28-2AA1D4440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179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7960"/>
    <w:rPr>
      <w:rFonts w:ascii="Tahoma" w:hAnsi="Tahoma" w:cs="Tahoma"/>
      <w:sz w:val="16"/>
      <w:szCs w:val="16"/>
    </w:rPr>
  </w:style>
  <w:style w:type="paragraph" w:styleId="Header">
    <w:name w:val="header"/>
    <w:basedOn w:val="Normal"/>
    <w:link w:val="HeaderChar"/>
    <w:uiPriority w:val="99"/>
    <w:unhideWhenUsed/>
    <w:rsid w:val="007179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7960"/>
  </w:style>
  <w:style w:type="paragraph" w:styleId="Footer">
    <w:name w:val="footer"/>
    <w:basedOn w:val="Normal"/>
    <w:link w:val="FooterChar"/>
    <w:uiPriority w:val="99"/>
    <w:unhideWhenUsed/>
    <w:rsid w:val="007179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7960"/>
  </w:style>
  <w:style w:type="table" w:styleId="TableGrid">
    <w:name w:val="Table Grid"/>
    <w:basedOn w:val="TableNormal"/>
    <w:uiPriority w:val="39"/>
    <w:rsid w:val="00595F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595F8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95F8C"/>
  </w:style>
  <w:style w:type="character" w:customStyle="1" w:styleId="eop">
    <w:name w:val="eop"/>
    <w:basedOn w:val="DefaultParagraphFont"/>
    <w:rsid w:val="00595F8C"/>
  </w:style>
  <w:style w:type="character" w:styleId="Hyperlink">
    <w:name w:val="Hyperlink"/>
    <w:basedOn w:val="DefaultParagraphFont"/>
    <w:uiPriority w:val="99"/>
    <w:unhideWhenUsed/>
    <w:rsid w:val="00595F8C"/>
    <w:rPr>
      <w:color w:val="0000FF" w:themeColor="hyperlink"/>
      <w:u w:val="single"/>
    </w:rPr>
  </w:style>
  <w:style w:type="character" w:styleId="UnresolvedMention">
    <w:name w:val="Unresolved Mention"/>
    <w:basedOn w:val="DefaultParagraphFont"/>
    <w:uiPriority w:val="99"/>
    <w:semiHidden/>
    <w:unhideWhenUsed/>
    <w:rsid w:val="00497055"/>
    <w:rPr>
      <w:color w:val="605E5C"/>
      <w:shd w:val="clear" w:color="auto" w:fill="E1DFDD"/>
    </w:rPr>
  </w:style>
  <w:style w:type="paragraph" w:styleId="ListParagraph">
    <w:name w:val="List Paragraph"/>
    <w:basedOn w:val="Normal"/>
    <w:link w:val="ListParagraphChar"/>
    <w:uiPriority w:val="34"/>
    <w:qFormat/>
    <w:rsid w:val="00AD2B1E"/>
    <w:pPr>
      <w:spacing w:after="160" w:line="259" w:lineRule="auto"/>
      <w:ind w:left="720"/>
      <w:contextualSpacing/>
    </w:pPr>
  </w:style>
  <w:style w:type="character" w:customStyle="1" w:styleId="ListParagraphChar">
    <w:name w:val="List Paragraph Char"/>
    <w:basedOn w:val="DefaultParagraphFont"/>
    <w:link w:val="ListParagraph"/>
    <w:uiPriority w:val="34"/>
    <w:locked/>
    <w:rsid w:val="00AD2B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165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voscur.org/paid" TargetMode="External"/><Relationship Id="rId18" Type="http://schemas.openxmlformats.org/officeDocument/2006/relationships/hyperlink" Target="mailto:calais.hutchins1@nhs.net"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future.nhs.uk/connect.ti/HTBNSSGSTP/view?objectid=30790544" TargetMode="External"/><Relationship Id="rId17" Type="http://schemas.openxmlformats.org/officeDocument/2006/relationships/hyperlink" Target="https://twitter.com/wecilbristol" TargetMode="External"/><Relationship Id="rId2" Type="http://schemas.openxmlformats.org/officeDocument/2006/relationships/customXml" Target="../customXml/item2.xml"/><Relationship Id="rId16" Type="http://schemas.openxmlformats.org/officeDocument/2006/relationships/hyperlink" Target="https://twitter.com/theblackprofes3"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bnssghealthiertogether.org.uk/wp-content/uploads/2025/06/BNSSG_Positive-Action-Framework_v3.pdf" TargetMode="External"/><Relationship Id="rId5" Type="http://schemas.openxmlformats.org/officeDocument/2006/relationships/styles" Target="styles.xml"/><Relationship Id="rId15" Type="http://schemas.openxmlformats.org/officeDocument/2006/relationships/hyperlink" Target="https://onefrontdoor.org.uk/employers/" TargetMode="External"/><Relationship Id="rId23" Type="http://schemas.openxmlformats.org/officeDocument/2006/relationships/theme" Target="theme/theme1.xml"/><Relationship Id="rId10" Type="http://schemas.openxmlformats.org/officeDocument/2006/relationships/hyperlink" Target="mailto:bnssg.inclusion@nhs.net" TargetMode="External"/><Relationship Id="rId19" Type="http://schemas.openxmlformats.org/officeDocument/2006/relationships/hyperlink" Target="mailto:bnssg.inclusion@nhs.ne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infohub.uwe.ac.uk/employers/"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18D5F5D2A0F0A46B169839BEE74B46C" ma:contentTypeVersion="10" ma:contentTypeDescription="Create a new document." ma:contentTypeScope="" ma:versionID="f8b1661778cfa061099f796823a9a041">
  <xsd:schema xmlns:xsd="http://www.w3.org/2001/XMLSchema" xmlns:xs="http://www.w3.org/2001/XMLSchema" xmlns:p="http://schemas.microsoft.com/office/2006/metadata/properties" xmlns:ns2="6791a7d9-c792-4483-846b-e6bd5d8a0d6d" targetNamespace="http://schemas.microsoft.com/office/2006/metadata/properties" ma:root="true" ma:fieldsID="59a7fe2bdd7016781915445beb7e54f7" ns2:_="">
    <xsd:import namespace="6791a7d9-c792-4483-846b-e6bd5d8a0d6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91a7d9-c792-4483-846b-e6bd5d8a0d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C7F6DB-3BD6-4D7D-A0A3-BBC5A028ECFC}">
  <ds:schemaRefs>
    <ds:schemaRef ds:uri="http://schemas.microsoft.com/sharepoint/v3/contenttype/forms"/>
  </ds:schemaRefs>
</ds:datastoreItem>
</file>

<file path=customXml/itemProps2.xml><?xml version="1.0" encoding="utf-8"?>
<ds:datastoreItem xmlns:ds="http://schemas.openxmlformats.org/officeDocument/2006/customXml" ds:itemID="{149AC7D2-AA2A-4EA4-8201-D0F00AC6EE6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D21B251-3E79-493B-BE78-8387251316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91a7d9-c792-4483-846b-e6bd5d8a0d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1046</Words>
  <Characters>5492</Characters>
  <Application>Microsoft Office Word</Application>
  <DocSecurity>0</DocSecurity>
  <Lines>105</Lines>
  <Paragraphs>30</Paragraphs>
  <ScaleCrop>false</ScaleCrop>
  <HeadingPairs>
    <vt:vector size="2" baseType="variant">
      <vt:variant>
        <vt:lpstr>Title</vt:lpstr>
      </vt:variant>
      <vt:variant>
        <vt:i4>1</vt:i4>
      </vt:variant>
    </vt:vector>
  </HeadingPairs>
  <TitlesOfParts>
    <vt:vector size="1" baseType="lpstr">
      <vt:lpstr/>
    </vt:vector>
  </TitlesOfParts>
  <Company>UHBrstiol</Company>
  <LinksUpToDate>false</LinksUpToDate>
  <CharactersWithSpaces>6508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Positive action planning template</dc:title>
  <dc:creator>Nixon Noorjahan</dc:creator>
  <cp:lastModifiedBy>MUCHALL, Rachelle (NHS BRISTOL, NORTH SOMERSET AND SOUTH GLOUCESTERSHIRE ICB - 15C)</cp:lastModifiedBy>
  <cp:revision>3</cp:revision>
  <cp:lastPrinted>2016-10-04T09:07:00Z</cp:lastPrinted>
  <dcterms:created xsi:type="dcterms:W3CDTF">2025-06-19T08:33:00Z</dcterms:created>
  <dcterms:modified xsi:type="dcterms:W3CDTF">2025-06-19T11:48:00Z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0x010100018D5F5D2A0F0A46B169839BEE74B46C</vt:lpwstr>
  </property>
</Properties>
</file>