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5EF6" w14:textId="77777777" w:rsidR="00807103" w:rsidRDefault="00807103" w:rsidP="00807103">
      <w:pPr>
        <w:pStyle w:val="Heading1"/>
        <w:jc w:val="center"/>
      </w:pPr>
      <w:r w:rsidRPr="00807103">
        <w:t xml:space="preserve">2024 – 2025 </w:t>
      </w:r>
    </w:p>
    <w:p w14:paraId="79E3F991" w14:textId="183F6F20" w:rsidR="00807103" w:rsidRPr="00807103" w:rsidRDefault="00807103" w:rsidP="009D2B85">
      <w:pPr>
        <w:pStyle w:val="Heading1"/>
        <w:jc w:val="center"/>
      </w:pPr>
      <w:r w:rsidRPr="00807103">
        <w:t>W</w:t>
      </w:r>
      <w:r>
        <w:t xml:space="preserve">orkforce </w:t>
      </w:r>
      <w:r w:rsidR="009D2B85">
        <w:t>Disability</w:t>
      </w:r>
      <w:r>
        <w:t xml:space="preserve"> </w:t>
      </w:r>
      <w:r w:rsidRPr="00807103">
        <w:t>E</w:t>
      </w:r>
      <w:r>
        <w:t xml:space="preserve">quality </w:t>
      </w:r>
      <w:r w:rsidRPr="00807103">
        <w:t>S</w:t>
      </w:r>
      <w:r>
        <w:t>tandards (W</w:t>
      </w:r>
      <w:r w:rsidR="009D2B85">
        <w:t>D</w:t>
      </w:r>
      <w:r>
        <w:t>ES)</w:t>
      </w:r>
      <w:r w:rsidRPr="00807103">
        <w:t xml:space="preserve"> Data Review</w:t>
      </w:r>
    </w:p>
    <w:p w14:paraId="707D971D" w14:textId="787CA2EB" w:rsidR="0DE58183" w:rsidRDefault="00807103" w:rsidP="00807103">
      <w:pPr>
        <w:pStyle w:val="Heading2"/>
      </w:pPr>
      <w:r>
        <w:t>Population Data</w:t>
      </w:r>
    </w:p>
    <w:p w14:paraId="1F2F63B2" w14:textId="28B3D8EC" w:rsidR="00807103" w:rsidRDefault="00807103" w:rsidP="00807103">
      <w:r>
        <w:t xml:space="preserve">In relation to </w:t>
      </w:r>
      <w:r w:rsidR="009D2B85">
        <w:t>disability</w:t>
      </w:r>
      <w:r>
        <w:t xml:space="preserve"> data the 2021 Census shows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3"/>
        <w:gridCol w:w="1704"/>
        <w:gridCol w:w="1559"/>
        <w:gridCol w:w="1664"/>
      </w:tblGrid>
      <w:tr w:rsidR="00807103" w14:paraId="75415BF9" w14:textId="77777777" w:rsidTr="00807103">
        <w:tc>
          <w:tcPr>
            <w:tcW w:w="3539" w:type="dxa"/>
            <w:shd w:val="clear" w:color="auto" w:fill="BFBFBF" w:themeFill="accent6"/>
          </w:tcPr>
          <w:p w14:paraId="5CB63B75" w14:textId="77777777" w:rsidR="00807103" w:rsidRDefault="00807103" w:rsidP="00807103"/>
        </w:tc>
        <w:tc>
          <w:tcPr>
            <w:tcW w:w="1273" w:type="dxa"/>
            <w:shd w:val="clear" w:color="auto" w:fill="C3C5EE" w:themeFill="accent4"/>
          </w:tcPr>
          <w:p w14:paraId="5613EE44" w14:textId="708E7FDD" w:rsidR="00807103" w:rsidRPr="00807103" w:rsidRDefault="00807103" w:rsidP="00807103">
            <w:pPr>
              <w:rPr>
                <w:b/>
                <w:bCs/>
              </w:rPr>
            </w:pPr>
            <w:r w:rsidRPr="00807103">
              <w:rPr>
                <w:b/>
                <w:bCs/>
              </w:rPr>
              <w:t>Bristol (%)</w:t>
            </w:r>
          </w:p>
        </w:tc>
        <w:tc>
          <w:tcPr>
            <w:tcW w:w="1704" w:type="dxa"/>
            <w:shd w:val="clear" w:color="auto" w:fill="C3C5EE" w:themeFill="accent4"/>
          </w:tcPr>
          <w:p w14:paraId="55A87CB8" w14:textId="39691A4D" w:rsidR="00807103" w:rsidRPr="00807103" w:rsidRDefault="00807103" w:rsidP="00807103">
            <w:pPr>
              <w:rPr>
                <w:b/>
                <w:bCs/>
              </w:rPr>
            </w:pPr>
            <w:r w:rsidRPr="00807103">
              <w:rPr>
                <w:b/>
                <w:bCs/>
              </w:rPr>
              <w:t>North Somerset (%)</w:t>
            </w:r>
          </w:p>
        </w:tc>
        <w:tc>
          <w:tcPr>
            <w:tcW w:w="1559" w:type="dxa"/>
            <w:shd w:val="clear" w:color="auto" w:fill="C3C5EE" w:themeFill="accent4"/>
          </w:tcPr>
          <w:p w14:paraId="3BC58CC4" w14:textId="0EB883E2" w:rsidR="00807103" w:rsidRPr="00807103" w:rsidRDefault="00807103" w:rsidP="00807103">
            <w:pPr>
              <w:rPr>
                <w:b/>
                <w:bCs/>
              </w:rPr>
            </w:pPr>
            <w:r w:rsidRPr="00807103">
              <w:rPr>
                <w:b/>
                <w:bCs/>
              </w:rPr>
              <w:t>South Glos (%)</w:t>
            </w:r>
          </w:p>
        </w:tc>
        <w:tc>
          <w:tcPr>
            <w:tcW w:w="1664" w:type="dxa"/>
            <w:shd w:val="clear" w:color="auto" w:fill="C3C5EE" w:themeFill="accent4"/>
          </w:tcPr>
          <w:p w14:paraId="24B60097" w14:textId="54D235E4" w:rsidR="00807103" w:rsidRPr="00807103" w:rsidRDefault="00807103" w:rsidP="00807103">
            <w:pPr>
              <w:rPr>
                <w:b/>
                <w:bCs/>
              </w:rPr>
            </w:pPr>
            <w:r w:rsidRPr="00807103">
              <w:rPr>
                <w:b/>
                <w:bCs/>
              </w:rPr>
              <w:t>England (%)</w:t>
            </w:r>
          </w:p>
        </w:tc>
      </w:tr>
      <w:tr w:rsidR="00807103" w14:paraId="4A29C43F" w14:textId="77777777" w:rsidTr="00807103">
        <w:tc>
          <w:tcPr>
            <w:tcW w:w="3539" w:type="dxa"/>
            <w:shd w:val="clear" w:color="auto" w:fill="C3C5EE" w:themeFill="accent4"/>
          </w:tcPr>
          <w:p w14:paraId="6772455C" w14:textId="7764708D" w:rsidR="00807103" w:rsidRPr="00807103" w:rsidRDefault="009D2B85" w:rsidP="00807103">
            <w:pPr>
              <w:rPr>
                <w:b/>
                <w:bCs/>
              </w:rPr>
            </w:pPr>
            <w:r>
              <w:rPr>
                <w:b/>
                <w:bCs/>
              </w:rPr>
              <w:t>Disabled under the Equality Act</w:t>
            </w:r>
          </w:p>
        </w:tc>
        <w:tc>
          <w:tcPr>
            <w:tcW w:w="1273" w:type="dxa"/>
          </w:tcPr>
          <w:p w14:paraId="25DBB576" w14:textId="2F404476" w:rsidR="00807103" w:rsidRDefault="009D2B85" w:rsidP="00807103">
            <w:r>
              <w:t>17.2</w:t>
            </w:r>
          </w:p>
        </w:tc>
        <w:tc>
          <w:tcPr>
            <w:tcW w:w="1704" w:type="dxa"/>
          </w:tcPr>
          <w:p w14:paraId="78CD3DF0" w14:textId="55CCA968" w:rsidR="00807103" w:rsidRDefault="009D2B85" w:rsidP="00807103">
            <w:r>
              <w:t>18.7</w:t>
            </w:r>
          </w:p>
        </w:tc>
        <w:tc>
          <w:tcPr>
            <w:tcW w:w="1559" w:type="dxa"/>
          </w:tcPr>
          <w:p w14:paraId="74CE2ABA" w14:textId="10FFFC82" w:rsidR="00807103" w:rsidRDefault="009D2B85" w:rsidP="00807103">
            <w:r>
              <w:t>16.3</w:t>
            </w:r>
          </w:p>
        </w:tc>
        <w:tc>
          <w:tcPr>
            <w:tcW w:w="1664" w:type="dxa"/>
          </w:tcPr>
          <w:p w14:paraId="244A1C3B" w14:textId="43207336" w:rsidR="00807103" w:rsidRDefault="009D2B85" w:rsidP="00807103">
            <w:r>
              <w:t>17.3</w:t>
            </w:r>
          </w:p>
        </w:tc>
      </w:tr>
      <w:tr w:rsidR="00807103" w14:paraId="15FDD07F" w14:textId="77777777" w:rsidTr="00807103">
        <w:tc>
          <w:tcPr>
            <w:tcW w:w="3539" w:type="dxa"/>
            <w:shd w:val="clear" w:color="auto" w:fill="C3C5EE" w:themeFill="accent4"/>
          </w:tcPr>
          <w:p w14:paraId="3F5A834C" w14:textId="49BE0289" w:rsidR="00807103" w:rsidRPr="00807103" w:rsidRDefault="009D2B85" w:rsidP="00807103">
            <w:pPr>
              <w:rPr>
                <w:b/>
                <w:bCs/>
              </w:rPr>
            </w:pPr>
            <w:r>
              <w:rPr>
                <w:b/>
                <w:bCs/>
              </w:rPr>
              <w:t>Not disabled under the Equality Act</w:t>
            </w:r>
            <w:r w:rsidR="00807103" w:rsidRPr="00807103">
              <w:rPr>
                <w:b/>
                <w:bCs/>
              </w:rPr>
              <w:t xml:space="preserve"> </w:t>
            </w:r>
          </w:p>
        </w:tc>
        <w:tc>
          <w:tcPr>
            <w:tcW w:w="1273" w:type="dxa"/>
          </w:tcPr>
          <w:p w14:paraId="0E6BCF5B" w14:textId="49FD32BB" w:rsidR="00807103" w:rsidRDefault="009D2B85" w:rsidP="00807103">
            <w:r>
              <w:t>82.8</w:t>
            </w:r>
          </w:p>
        </w:tc>
        <w:tc>
          <w:tcPr>
            <w:tcW w:w="1704" w:type="dxa"/>
          </w:tcPr>
          <w:p w14:paraId="58FE9A3E" w14:textId="380BFFE9" w:rsidR="00807103" w:rsidRDefault="009D2B85" w:rsidP="00807103">
            <w:r>
              <w:t>81.3</w:t>
            </w:r>
          </w:p>
        </w:tc>
        <w:tc>
          <w:tcPr>
            <w:tcW w:w="1559" w:type="dxa"/>
          </w:tcPr>
          <w:p w14:paraId="3A70219A" w14:textId="0154FB80" w:rsidR="00807103" w:rsidRDefault="009D2B85" w:rsidP="00807103">
            <w:r>
              <w:t>83.7</w:t>
            </w:r>
          </w:p>
        </w:tc>
        <w:tc>
          <w:tcPr>
            <w:tcW w:w="1664" w:type="dxa"/>
          </w:tcPr>
          <w:p w14:paraId="7AC5EC0E" w14:textId="2A304122" w:rsidR="00807103" w:rsidRDefault="009D2B85" w:rsidP="00807103">
            <w:r>
              <w:t>82.7</w:t>
            </w:r>
          </w:p>
        </w:tc>
      </w:tr>
    </w:tbl>
    <w:p w14:paraId="00E61BE2" w14:textId="77777777" w:rsidR="009D2B85" w:rsidRDefault="009D2B85" w:rsidP="00807103"/>
    <w:p w14:paraId="1F947A13" w14:textId="3F001302" w:rsidR="002F0B8E" w:rsidRDefault="002F0B8E" w:rsidP="00807103">
      <w:r>
        <w:t xml:space="preserve">Additionally, </w:t>
      </w:r>
      <w:proofErr w:type="spellStart"/>
      <w:r>
        <w:t>Bristol,</w:t>
      </w:r>
      <w:proofErr w:type="spellEnd"/>
      <w:r>
        <w:t xml:space="preserve"> North Somerset and South Gloucestershire (BNSSG) population and demographics data is as follows: </w:t>
      </w:r>
    </w:p>
    <w:p w14:paraId="1A82E7F2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Healthcare infrastructure</w:t>
      </w:r>
    </w:p>
    <w:p w14:paraId="2B08E9CF" w14:textId="77777777" w:rsidR="00E03AB9" w:rsidRPr="00E03AB9" w:rsidRDefault="00E03AB9" w:rsidP="00E0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3 NHS Trusts</w:t>
      </w:r>
    </w:p>
    <w:p w14:paraId="0FFE7B33" w14:textId="77777777" w:rsidR="00E03AB9" w:rsidRPr="00E03AB9" w:rsidRDefault="00E03AB9" w:rsidP="00E0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76 GP Practices</w:t>
      </w:r>
    </w:p>
    <w:p w14:paraId="30C91491" w14:textId="77777777" w:rsidR="00E03AB9" w:rsidRPr="00E03AB9" w:rsidRDefault="00E03AB9" w:rsidP="00E0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154 Dental Practices</w:t>
      </w:r>
    </w:p>
    <w:p w14:paraId="2D26CBA1" w14:textId="77777777" w:rsidR="00E03AB9" w:rsidRPr="00E03AB9" w:rsidRDefault="00E03AB9" w:rsidP="00E0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2 Higher Education Institutions (HEIs)</w:t>
      </w:r>
    </w:p>
    <w:p w14:paraId="445EA7DE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Education</w:t>
      </w:r>
    </w:p>
    <w:p w14:paraId="7E5ADB51" w14:textId="77777777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55% of pupils achieve 5 or more GCSEs below the England average of 58%.</w:t>
      </w:r>
    </w:p>
    <w:p w14:paraId="2842277D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7E9CB34D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Urban Classification</w:t>
      </w:r>
    </w:p>
    <w:p w14:paraId="5C977AFF" w14:textId="77777777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 xml:space="preserve">92% of </w:t>
      </w:r>
      <w:proofErr w:type="spellStart"/>
      <w:r w:rsidRPr="00E03AB9">
        <w:rPr>
          <w:rFonts w:eastAsia="Times New Roman" w:cs="Arial"/>
          <w:color w:val="000000"/>
          <w:szCs w:val="24"/>
          <w:lang w:eastAsia="en-GB"/>
        </w:rPr>
        <w:t>Bristol,</w:t>
      </w:r>
      <w:proofErr w:type="spellEnd"/>
      <w:r w:rsidRPr="00E03AB9">
        <w:rPr>
          <w:rFonts w:eastAsia="Times New Roman" w:cs="Arial"/>
          <w:color w:val="000000"/>
          <w:szCs w:val="24"/>
          <w:lang w:eastAsia="en-GB"/>
        </w:rPr>
        <w:t xml:space="preserve"> North Somerset and South Gloucestershire is classified as Urban City and Town compared to 66% of </w:t>
      </w:r>
      <w:proofErr w:type="gramStart"/>
      <w:r w:rsidRPr="00E03AB9">
        <w:rPr>
          <w:rFonts w:eastAsia="Times New Roman" w:cs="Arial"/>
          <w:color w:val="000000"/>
          <w:szCs w:val="24"/>
          <w:lang w:eastAsia="en-GB"/>
        </w:rPr>
        <w:t>South West</w:t>
      </w:r>
      <w:proofErr w:type="gramEnd"/>
      <w:r w:rsidRPr="00E03AB9">
        <w:rPr>
          <w:rFonts w:eastAsia="Times New Roman" w:cs="Arial"/>
          <w:color w:val="000000"/>
          <w:szCs w:val="24"/>
          <w:lang w:eastAsia="en-GB"/>
        </w:rPr>
        <w:t>.</w:t>
      </w:r>
    </w:p>
    <w:p w14:paraId="319FC677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3A566360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Deprivation</w:t>
      </w:r>
    </w:p>
    <w:p w14:paraId="1F2F3271" w14:textId="77777777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 xml:space="preserve">6.4% of </w:t>
      </w:r>
      <w:proofErr w:type="spellStart"/>
      <w:r w:rsidRPr="00E03AB9">
        <w:rPr>
          <w:rFonts w:eastAsia="Times New Roman" w:cs="Arial"/>
          <w:color w:val="000000"/>
          <w:szCs w:val="24"/>
          <w:lang w:eastAsia="en-GB"/>
        </w:rPr>
        <w:t>Bristol,</w:t>
      </w:r>
      <w:proofErr w:type="spellEnd"/>
      <w:r w:rsidRPr="00E03AB9">
        <w:rPr>
          <w:rFonts w:eastAsia="Times New Roman" w:cs="Arial"/>
          <w:color w:val="000000"/>
          <w:szCs w:val="24"/>
          <w:lang w:eastAsia="en-GB"/>
        </w:rPr>
        <w:t xml:space="preserve"> North Somerset and South Gloucestershire LSOAs are in the lowest decile for deprivation compared to SW average of 4.9%.</w:t>
      </w:r>
    </w:p>
    <w:p w14:paraId="2881F0B4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70AEE759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Population Breakdown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03AB9" w:rsidRPr="00E03AB9" w14:paraId="34A0D37A" w14:textId="77777777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3A6C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Indicator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E2BA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proofErr w:type="spellStart"/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Bristol,</w:t>
            </w:r>
            <w:proofErr w:type="spellEnd"/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North Somerset and South Gloucestershire value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DAD5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proofErr w:type="gramStart"/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South West</w:t>
            </w:r>
            <w:proofErr w:type="gramEnd"/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average</w:t>
            </w:r>
          </w:p>
        </w:tc>
      </w:tr>
      <w:tr w:rsidR="00E03AB9" w:rsidRPr="00E03AB9" w14:paraId="44846068" w14:textId="77777777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CEB5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Individuals aged over 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B200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41,835 (4.3%)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5EF9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5.5%</w:t>
            </w:r>
          </w:p>
        </w:tc>
      </w:tr>
      <w:tr w:rsidR="00E03AB9" w:rsidRPr="00E03AB9" w14:paraId="2D3D5115" w14:textId="77777777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497A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Individuals aged under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A30A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294,197 (30%)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88AF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27%</w:t>
            </w:r>
          </w:p>
        </w:tc>
      </w:tr>
      <w:tr w:rsidR="00E03AB9" w:rsidRPr="00E03AB9" w14:paraId="3D7262C1" w14:textId="77777777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4C40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lastRenderedPageBreak/>
              <w:t>LGBT+ population (Bristol)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00E1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4%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721C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2.2%</w:t>
            </w:r>
          </w:p>
        </w:tc>
      </w:tr>
      <w:tr w:rsidR="00E03AB9" w:rsidRPr="00E03AB9" w14:paraId="3AA9A664" w14:textId="77777777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63FF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BAME population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1E53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87,325 (9.77%)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5D8D" w14:textId="77777777" w:rsidR="00E03AB9" w:rsidRPr="00E03AB9" w:rsidRDefault="00E03AB9" w:rsidP="00E03AB9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E03AB9">
              <w:rPr>
                <w:rFonts w:eastAsia="Times New Roman" w:cs="Arial"/>
                <w:color w:val="000000"/>
                <w:szCs w:val="24"/>
                <w:lang w:eastAsia="en-GB"/>
              </w:rPr>
              <w:t>4.6%</w:t>
            </w:r>
          </w:p>
        </w:tc>
      </w:tr>
    </w:tbl>
    <w:p w14:paraId="19611EB3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3DE380BC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Housing</w:t>
      </w:r>
    </w:p>
    <w:p w14:paraId="1C02A9A4" w14:textId="288FF0AF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 xml:space="preserve">Average house price in </w:t>
      </w:r>
      <w:proofErr w:type="spellStart"/>
      <w:r w:rsidRPr="00E03AB9">
        <w:rPr>
          <w:rFonts w:eastAsia="Times New Roman" w:cs="Arial"/>
          <w:color w:val="000000"/>
          <w:szCs w:val="24"/>
          <w:lang w:eastAsia="en-GB"/>
        </w:rPr>
        <w:t>Bristol,</w:t>
      </w:r>
      <w:proofErr w:type="spellEnd"/>
      <w:r w:rsidRPr="00E03AB9">
        <w:rPr>
          <w:rFonts w:eastAsia="Times New Roman" w:cs="Arial"/>
          <w:color w:val="000000"/>
          <w:szCs w:val="24"/>
          <w:lang w:eastAsia="en-GB"/>
        </w:rPr>
        <w:t xml:space="preserve"> North Somerset and South Gloucestershire: £343,000 (SW: £332,000)</w:t>
      </w:r>
      <w:r>
        <w:rPr>
          <w:rFonts w:eastAsia="Times New Roman" w:cs="Arial"/>
          <w:color w:val="000000"/>
          <w:szCs w:val="24"/>
          <w:lang w:eastAsia="en-GB"/>
        </w:rPr>
        <w:t xml:space="preserve"> </w:t>
      </w:r>
      <w:r w:rsidRPr="00E03AB9">
        <w:rPr>
          <w:rFonts w:eastAsia="Times New Roman" w:cs="Arial"/>
          <w:color w:val="000000"/>
          <w:szCs w:val="24"/>
          <w:lang w:eastAsia="en-GB"/>
        </w:rPr>
        <w:t xml:space="preserve">78% of homes in </w:t>
      </w:r>
      <w:proofErr w:type="spellStart"/>
      <w:r w:rsidRPr="00E03AB9">
        <w:rPr>
          <w:rFonts w:eastAsia="Times New Roman" w:cs="Arial"/>
          <w:color w:val="000000"/>
          <w:szCs w:val="24"/>
          <w:lang w:eastAsia="en-GB"/>
        </w:rPr>
        <w:t>Bristol,</w:t>
      </w:r>
      <w:proofErr w:type="spellEnd"/>
      <w:r w:rsidRPr="00E03AB9">
        <w:rPr>
          <w:rFonts w:eastAsia="Times New Roman" w:cs="Arial"/>
          <w:color w:val="000000"/>
          <w:szCs w:val="24"/>
          <w:lang w:eastAsia="en-GB"/>
        </w:rPr>
        <w:t xml:space="preserve"> North Somerset and South Gloucestershire are owned compared to 79% in the </w:t>
      </w:r>
      <w:proofErr w:type="gramStart"/>
      <w:r w:rsidRPr="00E03AB9">
        <w:rPr>
          <w:rFonts w:eastAsia="Times New Roman" w:cs="Arial"/>
          <w:color w:val="000000"/>
          <w:szCs w:val="24"/>
          <w:lang w:eastAsia="en-GB"/>
        </w:rPr>
        <w:t>South West</w:t>
      </w:r>
      <w:proofErr w:type="gramEnd"/>
      <w:r w:rsidRPr="00E03AB9">
        <w:rPr>
          <w:rFonts w:eastAsia="Times New Roman" w:cs="Arial"/>
          <w:color w:val="000000"/>
          <w:szCs w:val="24"/>
          <w:lang w:eastAsia="en-GB"/>
        </w:rPr>
        <w:t>.</w:t>
      </w:r>
    </w:p>
    <w:p w14:paraId="7214CE06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2D32B8DE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Health</w:t>
      </w:r>
    </w:p>
    <w:p w14:paraId="0DEAF0A5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Hypertension prevalence: 15%</w:t>
      </w:r>
    </w:p>
    <w:p w14:paraId="091EB52C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Depression prevalence: 13%</w:t>
      </w:r>
    </w:p>
    <w:p w14:paraId="7A191A8B" w14:textId="77777777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7.8% of population (70,000) classify as having activity ‘Limited a lot’ compared to 8.3% SW.</w:t>
      </w:r>
    </w:p>
    <w:p w14:paraId="70387E91" w14:textId="77777777" w:rsidR="00D11E2F" w:rsidRPr="00E03AB9" w:rsidRDefault="00D11E2F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301C443A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Employment</w:t>
      </w:r>
    </w:p>
    <w:p w14:paraId="4772371E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2.4% of population have been unemployed more than 12 months (SW: 2.8%).</w:t>
      </w:r>
    </w:p>
    <w:p w14:paraId="03B94FC5" w14:textId="77777777" w:rsid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Largest industry: Wholesale and retail trade; repair of motor vehicles and motorcycles (14%).</w:t>
      </w:r>
    </w:p>
    <w:p w14:paraId="6F95A2D5" w14:textId="77777777" w:rsidR="00D11E2F" w:rsidRPr="00E03AB9" w:rsidRDefault="00D11E2F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7735F22F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b/>
          <w:bCs/>
          <w:color w:val="000000"/>
          <w:szCs w:val="24"/>
          <w:lang w:eastAsia="en-GB"/>
        </w:rPr>
        <w:t>Economy</w:t>
      </w:r>
    </w:p>
    <w:p w14:paraId="6B98E910" w14:textId="77777777" w:rsidR="00E03AB9" w:rsidRPr="00E03AB9" w:rsidRDefault="00E03AB9" w:rsidP="00E03AB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E03AB9">
        <w:rPr>
          <w:rFonts w:eastAsia="Times New Roman" w:cs="Arial"/>
          <w:color w:val="000000"/>
          <w:szCs w:val="24"/>
          <w:lang w:eastAsia="en-GB"/>
        </w:rPr>
        <w:t>Average gross pay in 2022: £646.6 per week (SW: £619.8)</w:t>
      </w:r>
    </w:p>
    <w:p w14:paraId="5E90D430" w14:textId="45186E23" w:rsidR="002F0B8E" w:rsidRDefault="002F0B8E" w:rsidP="00E03AB9"/>
    <w:p w14:paraId="523D2329" w14:textId="05B7A9AA" w:rsidR="00B5684E" w:rsidRDefault="00B5684E" w:rsidP="009D2B85">
      <w:pPr>
        <w:pStyle w:val="Heading2"/>
      </w:pPr>
      <w:r>
        <w:t>W</w:t>
      </w:r>
      <w:r w:rsidR="009D2B85">
        <w:t>D</w:t>
      </w:r>
      <w:r>
        <w:t>ES Data</w:t>
      </w:r>
    </w:p>
    <w:p w14:paraId="515F6997" w14:textId="77777777" w:rsidR="009D2B85" w:rsidRPr="009D2B85" w:rsidRDefault="009D2B85" w:rsidP="009D2B85"/>
    <w:p w14:paraId="12F1521D" w14:textId="61E274E5" w:rsidR="00B5684E" w:rsidRDefault="00B5684E" w:rsidP="00B5684E">
      <w:r>
        <w:t>The full BNSSG ICB W</w:t>
      </w:r>
      <w:r w:rsidR="009D2B85">
        <w:t>D</w:t>
      </w:r>
      <w:r>
        <w:t xml:space="preserve">ES report is available in Appendix </w:t>
      </w:r>
      <w:r w:rsidR="009902DB">
        <w:t>1</w:t>
      </w:r>
      <w:r>
        <w:t xml:space="preserve">. </w:t>
      </w:r>
    </w:p>
    <w:p w14:paraId="053A1C26" w14:textId="28E8DFC4" w:rsidR="00B5684E" w:rsidRDefault="00A54701" w:rsidP="00B5684E">
      <w:r>
        <w:t>Year-on-year</w:t>
      </w:r>
      <w:r w:rsidR="00B5684E">
        <w:t xml:space="preserve"> analysis of staff in post shows that </w:t>
      </w:r>
      <w:r>
        <w:t xml:space="preserve">in </w:t>
      </w:r>
      <w:r w:rsidR="00B5684E">
        <w:t>2024-25</w:t>
      </w:r>
      <w:r>
        <w:t>,</w:t>
      </w:r>
      <w:r w:rsidR="00B5684E">
        <w:t xml:space="preserve"> we</w:t>
      </w:r>
      <w:r w:rsidR="009D2B85">
        <w:t xml:space="preserve"> ha</w:t>
      </w:r>
      <w:r>
        <w:t xml:space="preserve">d our highest recorded percentage of staff with recorded disability. Although it should also be noted that our ‘unknown’ category has continued to reduce year-on-year and therefore may indicate an underreporting previously, and we remain underrepresented when compared to census data. </w:t>
      </w:r>
      <w:r w:rsidR="00B5684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150"/>
        <w:gridCol w:w="1150"/>
        <w:gridCol w:w="1217"/>
        <w:gridCol w:w="773"/>
        <w:gridCol w:w="1150"/>
        <w:gridCol w:w="1221"/>
        <w:gridCol w:w="1309"/>
      </w:tblGrid>
      <w:tr w:rsidR="00384777" w14:paraId="190D59D9" w14:textId="77777777" w:rsidTr="00F516B9">
        <w:tc>
          <w:tcPr>
            <w:tcW w:w="1769" w:type="dxa"/>
          </w:tcPr>
          <w:p w14:paraId="1B222D0A" w14:textId="77777777" w:rsidR="00384777" w:rsidRDefault="00384777" w:rsidP="00B5684E">
            <w:bookmarkStart w:id="0" w:name="_Hlk200461071"/>
          </w:p>
        </w:tc>
        <w:tc>
          <w:tcPr>
            <w:tcW w:w="3517" w:type="dxa"/>
            <w:gridSpan w:val="3"/>
            <w:shd w:val="clear" w:color="auto" w:fill="BFBFBF" w:themeFill="accent6"/>
          </w:tcPr>
          <w:p w14:paraId="0926A464" w14:textId="2AD80BD7" w:rsidR="00384777" w:rsidRDefault="00384777" w:rsidP="00B5684E">
            <w:r>
              <w:t>Headcount</w:t>
            </w:r>
          </w:p>
        </w:tc>
        <w:tc>
          <w:tcPr>
            <w:tcW w:w="773" w:type="dxa"/>
            <w:shd w:val="clear" w:color="auto" w:fill="BFBFBF" w:themeFill="accent6"/>
          </w:tcPr>
          <w:p w14:paraId="2A7D35F2" w14:textId="77777777" w:rsidR="00384777" w:rsidRDefault="00384777" w:rsidP="00B5684E"/>
        </w:tc>
        <w:tc>
          <w:tcPr>
            <w:tcW w:w="3680" w:type="dxa"/>
            <w:gridSpan w:val="3"/>
            <w:shd w:val="clear" w:color="auto" w:fill="BFBFBF" w:themeFill="accent6"/>
          </w:tcPr>
          <w:p w14:paraId="208B3F6F" w14:textId="592401FB" w:rsidR="00384777" w:rsidRDefault="00384777" w:rsidP="00B5684E">
            <w:r>
              <w:t>Percentage</w:t>
            </w:r>
          </w:p>
        </w:tc>
      </w:tr>
      <w:tr w:rsidR="009D2B85" w14:paraId="24CF5888" w14:textId="77777777" w:rsidTr="008435B9">
        <w:tc>
          <w:tcPr>
            <w:tcW w:w="1769" w:type="dxa"/>
            <w:shd w:val="clear" w:color="auto" w:fill="C3C5EE" w:themeFill="accent4"/>
          </w:tcPr>
          <w:p w14:paraId="303C891D" w14:textId="77D7350F" w:rsidR="00DC7129" w:rsidRDefault="00DC7129" w:rsidP="00B5684E">
            <w:r>
              <w:t>Year</w:t>
            </w:r>
          </w:p>
        </w:tc>
        <w:tc>
          <w:tcPr>
            <w:tcW w:w="1150" w:type="dxa"/>
            <w:shd w:val="clear" w:color="auto" w:fill="C3C5EE" w:themeFill="accent4"/>
          </w:tcPr>
          <w:p w14:paraId="1970C26B" w14:textId="7C9065FA" w:rsidR="00DC7129" w:rsidRDefault="009D2B85" w:rsidP="00B5684E">
            <w:r>
              <w:t>Disabled</w:t>
            </w:r>
          </w:p>
        </w:tc>
        <w:tc>
          <w:tcPr>
            <w:tcW w:w="1150" w:type="dxa"/>
            <w:shd w:val="clear" w:color="auto" w:fill="C3C5EE" w:themeFill="accent4"/>
          </w:tcPr>
          <w:p w14:paraId="15DF4D0E" w14:textId="791CE6B3" w:rsidR="00DC7129" w:rsidRDefault="009D2B85" w:rsidP="00B5684E">
            <w:r>
              <w:t>Non-Disabled</w:t>
            </w:r>
          </w:p>
        </w:tc>
        <w:tc>
          <w:tcPr>
            <w:tcW w:w="1217" w:type="dxa"/>
            <w:shd w:val="clear" w:color="auto" w:fill="C3C5EE" w:themeFill="accent4"/>
          </w:tcPr>
          <w:p w14:paraId="1D64E89E" w14:textId="02646037" w:rsidR="00DC7129" w:rsidRDefault="00DC7129" w:rsidP="00B5684E">
            <w:r>
              <w:t>Unknown</w:t>
            </w:r>
          </w:p>
        </w:tc>
        <w:tc>
          <w:tcPr>
            <w:tcW w:w="773" w:type="dxa"/>
            <w:shd w:val="clear" w:color="auto" w:fill="C3C5EE" w:themeFill="accent4"/>
          </w:tcPr>
          <w:p w14:paraId="433CA906" w14:textId="35C5DD49" w:rsidR="00DC7129" w:rsidRDefault="00DC7129" w:rsidP="00B5684E">
            <w:r>
              <w:t>Total</w:t>
            </w:r>
          </w:p>
        </w:tc>
        <w:tc>
          <w:tcPr>
            <w:tcW w:w="1150" w:type="dxa"/>
            <w:shd w:val="clear" w:color="auto" w:fill="C3C5EE" w:themeFill="accent4"/>
          </w:tcPr>
          <w:p w14:paraId="673DA8DA" w14:textId="4CEEAF3C" w:rsidR="00DC7129" w:rsidRDefault="009D2B85" w:rsidP="00B5684E">
            <w:r>
              <w:t>Disabled</w:t>
            </w:r>
          </w:p>
        </w:tc>
        <w:tc>
          <w:tcPr>
            <w:tcW w:w="1221" w:type="dxa"/>
            <w:shd w:val="clear" w:color="auto" w:fill="C3C5EE" w:themeFill="accent4"/>
          </w:tcPr>
          <w:p w14:paraId="438394E7" w14:textId="0B33A2BD" w:rsidR="00DC7129" w:rsidRDefault="009D2B85" w:rsidP="00B5684E">
            <w:r>
              <w:t>Non-Disabled</w:t>
            </w:r>
          </w:p>
        </w:tc>
        <w:tc>
          <w:tcPr>
            <w:tcW w:w="1309" w:type="dxa"/>
            <w:shd w:val="clear" w:color="auto" w:fill="C3C5EE" w:themeFill="accent4"/>
          </w:tcPr>
          <w:p w14:paraId="092D2ACB" w14:textId="1CE05410" w:rsidR="00DC7129" w:rsidRDefault="00DC7129" w:rsidP="00B5684E">
            <w:r>
              <w:t>Unknown</w:t>
            </w:r>
          </w:p>
        </w:tc>
      </w:tr>
      <w:tr w:rsidR="00DC7129" w14:paraId="7C2681A0" w14:textId="77777777" w:rsidTr="008435B9">
        <w:tc>
          <w:tcPr>
            <w:tcW w:w="1769" w:type="dxa"/>
            <w:shd w:val="clear" w:color="auto" w:fill="C3C5EE" w:themeFill="accent4"/>
          </w:tcPr>
          <w:p w14:paraId="41842862" w14:textId="1A7194E3" w:rsidR="00DC7129" w:rsidRDefault="00DC7129" w:rsidP="00B5684E">
            <w:r>
              <w:t>2018/19</w:t>
            </w:r>
          </w:p>
        </w:tc>
        <w:tc>
          <w:tcPr>
            <w:tcW w:w="1150" w:type="dxa"/>
            <w:shd w:val="clear" w:color="auto" w:fill="EAF2C0"/>
          </w:tcPr>
          <w:p w14:paraId="73B7F364" w14:textId="2329DFDD" w:rsidR="00DC7129" w:rsidRDefault="009D2B85" w:rsidP="00B5684E">
            <w:r>
              <w:t>12</w:t>
            </w:r>
          </w:p>
        </w:tc>
        <w:tc>
          <w:tcPr>
            <w:tcW w:w="1150" w:type="dxa"/>
          </w:tcPr>
          <w:p w14:paraId="7301457A" w14:textId="658CBC9A" w:rsidR="00DC7129" w:rsidRDefault="009D2B85" w:rsidP="00B5684E">
            <w:r>
              <w:t>275</w:t>
            </w:r>
          </w:p>
        </w:tc>
        <w:tc>
          <w:tcPr>
            <w:tcW w:w="1217" w:type="dxa"/>
          </w:tcPr>
          <w:p w14:paraId="060DFC51" w14:textId="55348740" w:rsidR="00DC7129" w:rsidRDefault="009D2B85" w:rsidP="00B5684E">
            <w:r>
              <w:t>120</w:t>
            </w:r>
          </w:p>
        </w:tc>
        <w:tc>
          <w:tcPr>
            <w:tcW w:w="773" w:type="dxa"/>
          </w:tcPr>
          <w:p w14:paraId="61955231" w14:textId="2610735D" w:rsidR="00DC7129" w:rsidRDefault="009D2B85" w:rsidP="00B5684E">
            <w:r>
              <w:t>407</w:t>
            </w:r>
          </w:p>
        </w:tc>
        <w:tc>
          <w:tcPr>
            <w:tcW w:w="1150" w:type="dxa"/>
            <w:shd w:val="clear" w:color="auto" w:fill="EAF2C0"/>
          </w:tcPr>
          <w:p w14:paraId="236232FA" w14:textId="33382F00" w:rsidR="00DC7129" w:rsidRDefault="009D2B85" w:rsidP="00B5684E">
            <w:r>
              <w:t>3.00%</w:t>
            </w:r>
          </w:p>
        </w:tc>
        <w:tc>
          <w:tcPr>
            <w:tcW w:w="1221" w:type="dxa"/>
          </w:tcPr>
          <w:p w14:paraId="094A5892" w14:textId="0E4C2B93" w:rsidR="00DC7129" w:rsidRDefault="009D2B85" w:rsidP="00B5684E">
            <w:r>
              <w:t>67.60%</w:t>
            </w:r>
          </w:p>
        </w:tc>
        <w:tc>
          <w:tcPr>
            <w:tcW w:w="1309" w:type="dxa"/>
          </w:tcPr>
          <w:p w14:paraId="387F066E" w14:textId="488BDE89" w:rsidR="00DC7129" w:rsidRDefault="009D2B85" w:rsidP="00B5684E">
            <w:r>
              <w:t>29.50%</w:t>
            </w:r>
          </w:p>
        </w:tc>
      </w:tr>
      <w:tr w:rsidR="00DC7129" w14:paraId="7621AB98" w14:textId="77777777" w:rsidTr="008435B9">
        <w:tc>
          <w:tcPr>
            <w:tcW w:w="1769" w:type="dxa"/>
            <w:shd w:val="clear" w:color="auto" w:fill="C3C5EE" w:themeFill="accent4"/>
          </w:tcPr>
          <w:p w14:paraId="6C47C4E4" w14:textId="3ED06633" w:rsidR="00DC7129" w:rsidRDefault="00DC7129" w:rsidP="00B5684E">
            <w:r>
              <w:t>2019/20</w:t>
            </w:r>
          </w:p>
        </w:tc>
        <w:tc>
          <w:tcPr>
            <w:tcW w:w="1150" w:type="dxa"/>
            <w:shd w:val="clear" w:color="auto" w:fill="EAF2C0"/>
          </w:tcPr>
          <w:p w14:paraId="11DD8D5F" w14:textId="32E15A44" w:rsidR="00DC7129" w:rsidRDefault="009D2B85" w:rsidP="00B5684E">
            <w:r>
              <w:t>17</w:t>
            </w:r>
          </w:p>
        </w:tc>
        <w:tc>
          <w:tcPr>
            <w:tcW w:w="1150" w:type="dxa"/>
          </w:tcPr>
          <w:p w14:paraId="7B85436F" w14:textId="10885FB2" w:rsidR="00DC7129" w:rsidRDefault="009D2B85" w:rsidP="00B5684E">
            <w:r>
              <w:t>350</w:t>
            </w:r>
          </w:p>
        </w:tc>
        <w:tc>
          <w:tcPr>
            <w:tcW w:w="1217" w:type="dxa"/>
          </w:tcPr>
          <w:p w14:paraId="18596314" w14:textId="1F18247F" w:rsidR="00DC7129" w:rsidRDefault="009D2B85" w:rsidP="00B5684E">
            <w:r>
              <w:t>125</w:t>
            </w:r>
          </w:p>
        </w:tc>
        <w:tc>
          <w:tcPr>
            <w:tcW w:w="773" w:type="dxa"/>
          </w:tcPr>
          <w:p w14:paraId="383AC0AC" w14:textId="1FD026D1" w:rsidR="00DC7129" w:rsidRDefault="009D2B85" w:rsidP="00B5684E">
            <w:r>
              <w:t>492</w:t>
            </w:r>
          </w:p>
        </w:tc>
        <w:tc>
          <w:tcPr>
            <w:tcW w:w="1150" w:type="dxa"/>
            <w:shd w:val="clear" w:color="auto" w:fill="EAF2C0"/>
          </w:tcPr>
          <w:p w14:paraId="0AF54A48" w14:textId="02C9F9E0" w:rsidR="00DC7129" w:rsidRDefault="009D2B85" w:rsidP="00B5684E">
            <w:r>
              <w:t>3.50%</w:t>
            </w:r>
          </w:p>
        </w:tc>
        <w:tc>
          <w:tcPr>
            <w:tcW w:w="1221" w:type="dxa"/>
          </w:tcPr>
          <w:p w14:paraId="7F2F68C5" w14:textId="6F0FC93D" w:rsidR="00DC7129" w:rsidRDefault="009D2B85" w:rsidP="00B5684E">
            <w:r>
              <w:t>71.10%</w:t>
            </w:r>
          </w:p>
        </w:tc>
        <w:tc>
          <w:tcPr>
            <w:tcW w:w="1309" w:type="dxa"/>
          </w:tcPr>
          <w:p w14:paraId="40FE481F" w14:textId="5EDD213D" w:rsidR="00DC7129" w:rsidRDefault="009D2B85" w:rsidP="00B5684E">
            <w:r>
              <w:t>25.40%</w:t>
            </w:r>
          </w:p>
        </w:tc>
      </w:tr>
      <w:tr w:rsidR="00DC7129" w14:paraId="1D7CCE9C" w14:textId="77777777" w:rsidTr="008435B9">
        <w:tc>
          <w:tcPr>
            <w:tcW w:w="1769" w:type="dxa"/>
            <w:shd w:val="clear" w:color="auto" w:fill="C3C5EE" w:themeFill="accent4"/>
          </w:tcPr>
          <w:p w14:paraId="04C0DA5D" w14:textId="4BEEA700" w:rsidR="00DC7129" w:rsidRDefault="00DC7129" w:rsidP="00B5684E">
            <w:r>
              <w:t>2020/21</w:t>
            </w:r>
          </w:p>
        </w:tc>
        <w:tc>
          <w:tcPr>
            <w:tcW w:w="1150" w:type="dxa"/>
            <w:shd w:val="clear" w:color="auto" w:fill="EAF2C0"/>
          </w:tcPr>
          <w:p w14:paraId="3A16C97C" w14:textId="54024D53" w:rsidR="00DC7129" w:rsidRDefault="009D2B85" w:rsidP="00B5684E">
            <w:r>
              <w:t>16</w:t>
            </w:r>
          </w:p>
        </w:tc>
        <w:tc>
          <w:tcPr>
            <w:tcW w:w="1150" w:type="dxa"/>
          </w:tcPr>
          <w:p w14:paraId="173C752A" w14:textId="38488607" w:rsidR="00DC7129" w:rsidRDefault="009D2B85" w:rsidP="00B5684E">
            <w:r>
              <w:t>354</w:t>
            </w:r>
          </w:p>
        </w:tc>
        <w:tc>
          <w:tcPr>
            <w:tcW w:w="1217" w:type="dxa"/>
          </w:tcPr>
          <w:p w14:paraId="7585C3E0" w14:textId="44996456" w:rsidR="00DC7129" w:rsidRDefault="009D2B85" w:rsidP="00B5684E">
            <w:r>
              <w:t>93</w:t>
            </w:r>
          </w:p>
        </w:tc>
        <w:tc>
          <w:tcPr>
            <w:tcW w:w="773" w:type="dxa"/>
          </w:tcPr>
          <w:p w14:paraId="27B85B04" w14:textId="2D6E3457" w:rsidR="00DC7129" w:rsidRDefault="009D2B85" w:rsidP="00B5684E">
            <w:r>
              <w:t>463</w:t>
            </w:r>
          </w:p>
        </w:tc>
        <w:tc>
          <w:tcPr>
            <w:tcW w:w="1150" w:type="dxa"/>
            <w:shd w:val="clear" w:color="auto" w:fill="EAF2C0"/>
          </w:tcPr>
          <w:p w14:paraId="6D6C44C4" w14:textId="691E4A93" w:rsidR="00DC7129" w:rsidRDefault="009D2B85" w:rsidP="00B5684E">
            <w:r>
              <w:t>3.50%</w:t>
            </w:r>
          </w:p>
        </w:tc>
        <w:tc>
          <w:tcPr>
            <w:tcW w:w="1221" w:type="dxa"/>
          </w:tcPr>
          <w:p w14:paraId="6D9705EA" w14:textId="08F09E12" w:rsidR="00DC7129" w:rsidRDefault="009D2B85" w:rsidP="00B5684E">
            <w:r>
              <w:t>76.50%</w:t>
            </w:r>
          </w:p>
        </w:tc>
        <w:tc>
          <w:tcPr>
            <w:tcW w:w="1309" w:type="dxa"/>
          </w:tcPr>
          <w:p w14:paraId="66887EFE" w14:textId="46E7C4B7" w:rsidR="00DC7129" w:rsidRDefault="009D2B85" w:rsidP="00B5684E">
            <w:r>
              <w:t>20.10%</w:t>
            </w:r>
          </w:p>
        </w:tc>
      </w:tr>
      <w:tr w:rsidR="00DC7129" w14:paraId="666AAAC6" w14:textId="77777777" w:rsidTr="008435B9">
        <w:tc>
          <w:tcPr>
            <w:tcW w:w="1769" w:type="dxa"/>
            <w:shd w:val="clear" w:color="auto" w:fill="C3C5EE" w:themeFill="accent4"/>
          </w:tcPr>
          <w:p w14:paraId="580F0592" w14:textId="747987C9" w:rsidR="00DC7129" w:rsidRDefault="00DC7129" w:rsidP="00B5684E">
            <w:r>
              <w:t>2021/22</w:t>
            </w:r>
          </w:p>
        </w:tc>
        <w:tc>
          <w:tcPr>
            <w:tcW w:w="1150" w:type="dxa"/>
            <w:shd w:val="clear" w:color="auto" w:fill="EAF2C0"/>
          </w:tcPr>
          <w:p w14:paraId="3A684965" w14:textId="5304B7BC" w:rsidR="00DC7129" w:rsidRDefault="009D2B85" w:rsidP="00B5684E">
            <w:r>
              <w:t>22</w:t>
            </w:r>
          </w:p>
        </w:tc>
        <w:tc>
          <w:tcPr>
            <w:tcW w:w="1150" w:type="dxa"/>
          </w:tcPr>
          <w:p w14:paraId="4DD46881" w14:textId="6A053824" w:rsidR="00DC7129" w:rsidRDefault="009D2B85" w:rsidP="00B5684E">
            <w:r>
              <w:t>424</w:t>
            </w:r>
          </w:p>
        </w:tc>
        <w:tc>
          <w:tcPr>
            <w:tcW w:w="1217" w:type="dxa"/>
          </w:tcPr>
          <w:p w14:paraId="53559624" w14:textId="7BF7AD17" w:rsidR="00DC7129" w:rsidRDefault="009D2B85" w:rsidP="00B5684E">
            <w:r>
              <w:t>88</w:t>
            </w:r>
          </w:p>
        </w:tc>
        <w:tc>
          <w:tcPr>
            <w:tcW w:w="773" w:type="dxa"/>
          </w:tcPr>
          <w:p w14:paraId="156DD6B2" w14:textId="46F5CD96" w:rsidR="00DC7129" w:rsidRDefault="009D2B85" w:rsidP="00B5684E">
            <w:r>
              <w:t>534</w:t>
            </w:r>
          </w:p>
        </w:tc>
        <w:tc>
          <w:tcPr>
            <w:tcW w:w="1150" w:type="dxa"/>
            <w:shd w:val="clear" w:color="auto" w:fill="EAF2C0"/>
          </w:tcPr>
          <w:p w14:paraId="68DBBBF6" w14:textId="0339D76C" w:rsidR="00DC7129" w:rsidRDefault="009D2B85" w:rsidP="00B5684E">
            <w:r>
              <w:t>4.10%</w:t>
            </w:r>
          </w:p>
        </w:tc>
        <w:tc>
          <w:tcPr>
            <w:tcW w:w="1221" w:type="dxa"/>
          </w:tcPr>
          <w:p w14:paraId="50C6C646" w14:textId="4820902D" w:rsidR="00DC7129" w:rsidRDefault="009D2B85" w:rsidP="00B5684E">
            <w:r>
              <w:t>79.40%</w:t>
            </w:r>
          </w:p>
        </w:tc>
        <w:tc>
          <w:tcPr>
            <w:tcW w:w="1309" w:type="dxa"/>
          </w:tcPr>
          <w:p w14:paraId="31D2288E" w14:textId="67549C80" w:rsidR="00DC7129" w:rsidRDefault="009D2B85" w:rsidP="00B5684E">
            <w:r>
              <w:t>16.50%</w:t>
            </w:r>
          </w:p>
        </w:tc>
      </w:tr>
      <w:tr w:rsidR="00DC7129" w14:paraId="4DEDE322" w14:textId="77777777" w:rsidTr="008435B9">
        <w:tc>
          <w:tcPr>
            <w:tcW w:w="1769" w:type="dxa"/>
            <w:shd w:val="clear" w:color="auto" w:fill="C3C5EE" w:themeFill="accent4"/>
          </w:tcPr>
          <w:p w14:paraId="51659ED7" w14:textId="5EFF1E22" w:rsidR="00DC7129" w:rsidRDefault="00DC7129" w:rsidP="00B5684E">
            <w:r>
              <w:t>2022/23</w:t>
            </w:r>
          </w:p>
        </w:tc>
        <w:tc>
          <w:tcPr>
            <w:tcW w:w="1150" w:type="dxa"/>
            <w:shd w:val="clear" w:color="auto" w:fill="EAF2C0"/>
          </w:tcPr>
          <w:p w14:paraId="0531C28C" w14:textId="422D7314" w:rsidR="00DC7129" w:rsidRDefault="009D2B85" w:rsidP="00B5684E">
            <w:r>
              <w:t>23</w:t>
            </w:r>
          </w:p>
        </w:tc>
        <w:tc>
          <w:tcPr>
            <w:tcW w:w="1150" w:type="dxa"/>
          </w:tcPr>
          <w:p w14:paraId="61013466" w14:textId="14A70EFE" w:rsidR="00DC7129" w:rsidRDefault="009D2B85" w:rsidP="00B5684E">
            <w:r>
              <w:t>433</w:t>
            </w:r>
          </w:p>
        </w:tc>
        <w:tc>
          <w:tcPr>
            <w:tcW w:w="1217" w:type="dxa"/>
          </w:tcPr>
          <w:p w14:paraId="428B8AE7" w14:textId="25E6AB4D" w:rsidR="00DC7129" w:rsidRDefault="009D2B85" w:rsidP="00B5684E">
            <w:r>
              <w:t>84</w:t>
            </w:r>
          </w:p>
        </w:tc>
        <w:tc>
          <w:tcPr>
            <w:tcW w:w="773" w:type="dxa"/>
          </w:tcPr>
          <w:p w14:paraId="7E5CA6DE" w14:textId="37EF32FA" w:rsidR="00DC7129" w:rsidRDefault="009D2B85" w:rsidP="00B5684E">
            <w:r>
              <w:t>540</w:t>
            </w:r>
          </w:p>
        </w:tc>
        <w:tc>
          <w:tcPr>
            <w:tcW w:w="1150" w:type="dxa"/>
            <w:shd w:val="clear" w:color="auto" w:fill="EAF2C0"/>
          </w:tcPr>
          <w:p w14:paraId="685F423D" w14:textId="49DAF3BE" w:rsidR="00DC7129" w:rsidRDefault="009D2B85" w:rsidP="00B5684E">
            <w:r>
              <w:t>4.26%</w:t>
            </w:r>
          </w:p>
        </w:tc>
        <w:tc>
          <w:tcPr>
            <w:tcW w:w="1221" w:type="dxa"/>
          </w:tcPr>
          <w:p w14:paraId="297D13E0" w14:textId="7A31F680" w:rsidR="00DC7129" w:rsidRDefault="009D2B85" w:rsidP="00B5684E">
            <w:r>
              <w:t>80.19%</w:t>
            </w:r>
          </w:p>
        </w:tc>
        <w:tc>
          <w:tcPr>
            <w:tcW w:w="1309" w:type="dxa"/>
          </w:tcPr>
          <w:p w14:paraId="437A8284" w14:textId="7676E9A2" w:rsidR="00DC7129" w:rsidRDefault="009D2B85" w:rsidP="00B5684E">
            <w:r>
              <w:t>15.56%</w:t>
            </w:r>
          </w:p>
        </w:tc>
      </w:tr>
      <w:tr w:rsidR="00DC7129" w14:paraId="06E61912" w14:textId="77777777" w:rsidTr="008435B9">
        <w:tc>
          <w:tcPr>
            <w:tcW w:w="1769" w:type="dxa"/>
            <w:shd w:val="clear" w:color="auto" w:fill="C3C5EE" w:themeFill="accent4"/>
          </w:tcPr>
          <w:p w14:paraId="1DA34E95" w14:textId="47B3979B" w:rsidR="00DC7129" w:rsidRDefault="00DC7129" w:rsidP="00B5684E">
            <w:r>
              <w:t>2023/24</w:t>
            </w:r>
          </w:p>
        </w:tc>
        <w:tc>
          <w:tcPr>
            <w:tcW w:w="1150" w:type="dxa"/>
            <w:shd w:val="clear" w:color="auto" w:fill="EAF2C0"/>
          </w:tcPr>
          <w:p w14:paraId="153BFC11" w14:textId="1901101B" w:rsidR="00DC7129" w:rsidRDefault="009D2B85" w:rsidP="00B5684E">
            <w:r>
              <w:t>27</w:t>
            </w:r>
          </w:p>
        </w:tc>
        <w:tc>
          <w:tcPr>
            <w:tcW w:w="1150" w:type="dxa"/>
          </w:tcPr>
          <w:p w14:paraId="3941C236" w14:textId="77AD2E8A" w:rsidR="00DC7129" w:rsidRDefault="009D2B85" w:rsidP="00B5684E">
            <w:r>
              <w:t>392</w:t>
            </w:r>
          </w:p>
        </w:tc>
        <w:tc>
          <w:tcPr>
            <w:tcW w:w="1217" w:type="dxa"/>
          </w:tcPr>
          <w:p w14:paraId="1D0A640D" w14:textId="2FA8D5B3" w:rsidR="00DC7129" w:rsidRDefault="009D2B85" w:rsidP="00B5684E">
            <w:r>
              <w:t>63</w:t>
            </w:r>
          </w:p>
        </w:tc>
        <w:tc>
          <w:tcPr>
            <w:tcW w:w="773" w:type="dxa"/>
          </w:tcPr>
          <w:p w14:paraId="32AD09DC" w14:textId="52E51E74" w:rsidR="00DC7129" w:rsidRDefault="009D2B85" w:rsidP="00B5684E">
            <w:r>
              <w:t>482</w:t>
            </w:r>
          </w:p>
        </w:tc>
        <w:tc>
          <w:tcPr>
            <w:tcW w:w="1150" w:type="dxa"/>
            <w:shd w:val="clear" w:color="auto" w:fill="EAF2C0"/>
          </w:tcPr>
          <w:p w14:paraId="56FC1D45" w14:textId="5A7968C0" w:rsidR="00DC7129" w:rsidRDefault="009D2B85" w:rsidP="00B5684E">
            <w:r>
              <w:t>5.60%</w:t>
            </w:r>
          </w:p>
        </w:tc>
        <w:tc>
          <w:tcPr>
            <w:tcW w:w="1221" w:type="dxa"/>
          </w:tcPr>
          <w:p w14:paraId="20FBD5C8" w14:textId="5F6E7857" w:rsidR="00DC7129" w:rsidRDefault="009D2B85" w:rsidP="00B5684E">
            <w:r>
              <w:t>81.33%</w:t>
            </w:r>
          </w:p>
        </w:tc>
        <w:tc>
          <w:tcPr>
            <w:tcW w:w="1309" w:type="dxa"/>
          </w:tcPr>
          <w:p w14:paraId="33600D2C" w14:textId="2489B24D" w:rsidR="00DC7129" w:rsidRDefault="009D2B85" w:rsidP="00B5684E">
            <w:r>
              <w:t>13.07%</w:t>
            </w:r>
          </w:p>
        </w:tc>
      </w:tr>
      <w:tr w:rsidR="00DC7129" w14:paraId="5D91BB8C" w14:textId="77777777" w:rsidTr="008435B9">
        <w:tc>
          <w:tcPr>
            <w:tcW w:w="1769" w:type="dxa"/>
            <w:shd w:val="clear" w:color="auto" w:fill="C3C5EE" w:themeFill="accent4"/>
          </w:tcPr>
          <w:p w14:paraId="6FA29DAA" w14:textId="74FD2CB6" w:rsidR="00DC7129" w:rsidRDefault="00DC7129" w:rsidP="00B5684E">
            <w:r>
              <w:t>2024/25</w:t>
            </w:r>
          </w:p>
        </w:tc>
        <w:tc>
          <w:tcPr>
            <w:tcW w:w="1150" w:type="dxa"/>
            <w:shd w:val="clear" w:color="auto" w:fill="EAF2C0"/>
          </w:tcPr>
          <w:p w14:paraId="6AB6A925" w14:textId="49F5D8DD" w:rsidR="00DC7129" w:rsidRDefault="00F06030" w:rsidP="00B5684E">
            <w:r>
              <w:t>43</w:t>
            </w:r>
          </w:p>
        </w:tc>
        <w:tc>
          <w:tcPr>
            <w:tcW w:w="1150" w:type="dxa"/>
          </w:tcPr>
          <w:p w14:paraId="7C83F031" w14:textId="092EFA4A" w:rsidR="00DC7129" w:rsidRDefault="00F06030" w:rsidP="00B5684E">
            <w:r>
              <w:t>384</w:t>
            </w:r>
          </w:p>
        </w:tc>
        <w:tc>
          <w:tcPr>
            <w:tcW w:w="1217" w:type="dxa"/>
          </w:tcPr>
          <w:p w14:paraId="4C8781FC" w14:textId="471ED1F3" w:rsidR="00DC7129" w:rsidRDefault="00F06030" w:rsidP="00B5684E">
            <w:r>
              <w:t>44</w:t>
            </w:r>
          </w:p>
        </w:tc>
        <w:tc>
          <w:tcPr>
            <w:tcW w:w="773" w:type="dxa"/>
          </w:tcPr>
          <w:p w14:paraId="05928AE0" w14:textId="46035358" w:rsidR="00DC7129" w:rsidRDefault="00F06030" w:rsidP="00B5684E">
            <w:r>
              <w:t>471</w:t>
            </w:r>
          </w:p>
        </w:tc>
        <w:tc>
          <w:tcPr>
            <w:tcW w:w="1150" w:type="dxa"/>
            <w:shd w:val="clear" w:color="auto" w:fill="EAF2C0"/>
          </w:tcPr>
          <w:p w14:paraId="7DB83B60" w14:textId="4DF049CC" w:rsidR="00DC7129" w:rsidRDefault="00F06030" w:rsidP="00B5684E">
            <w:r>
              <w:t>9</w:t>
            </w:r>
            <w:r w:rsidR="009D2B85">
              <w:t>.</w:t>
            </w:r>
            <w:r>
              <w:t>13</w:t>
            </w:r>
            <w:r w:rsidR="009D2B85">
              <w:t>%</w:t>
            </w:r>
          </w:p>
        </w:tc>
        <w:tc>
          <w:tcPr>
            <w:tcW w:w="1221" w:type="dxa"/>
          </w:tcPr>
          <w:p w14:paraId="1FCAD7C6" w14:textId="29335651" w:rsidR="00DC7129" w:rsidRDefault="00F06030" w:rsidP="00B5684E">
            <w:r>
              <w:t>81</w:t>
            </w:r>
            <w:r w:rsidR="009D2B85">
              <w:t>.</w:t>
            </w:r>
            <w:r>
              <w:t>53</w:t>
            </w:r>
            <w:r w:rsidR="009D2B85">
              <w:t>%</w:t>
            </w:r>
          </w:p>
        </w:tc>
        <w:tc>
          <w:tcPr>
            <w:tcW w:w="1309" w:type="dxa"/>
          </w:tcPr>
          <w:p w14:paraId="61E65D2F" w14:textId="42B4024E" w:rsidR="00DC7129" w:rsidRDefault="009D2B85" w:rsidP="00B5684E">
            <w:r>
              <w:t>9.</w:t>
            </w:r>
            <w:r w:rsidR="00F06030">
              <w:t>34</w:t>
            </w:r>
            <w:r>
              <w:t>%</w:t>
            </w:r>
          </w:p>
        </w:tc>
      </w:tr>
      <w:bookmarkEnd w:id="0"/>
    </w:tbl>
    <w:p w14:paraId="77691815" w14:textId="77777777" w:rsidR="00B5684E" w:rsidRDefault="00B5684E" w:rsidP="00B5684E"/>
    <w:p w14:paraId="48216774" w14:textId="5178BD01" w:rsidR="00B84DF2" w:rsidRDefault="00A54701" w:rsidP="00B5684E">
      <w:r>
        <w:t>Within banding, it should be noted that clinical bands 8</w:t>
      </w:r>
      <w:r w:rsidR="006A070B">
        <w:t>c</w:t>
      </w:r>
      <w:r>
        <w:t xml:space="preserve"> </w:t>
      </w:r>
      <w:r w:rsidR="006A070B">
        <w:t>to VSM</w:t>
      </w:r>
      <w:r>
        <w:t xml:space="preserve"> </w:t>
      </w:r>
      <w:r w:rsidR="00831DFF">
        <w:t xml:space="preserve">has </w:t>
      </w:r>
      <w:r w:rsidR="006A070B">
        <w:t>no staff declared as having a disability</w:t>
      </w:r>
      <w:r>
        <w:t xml:space="preserve">. </w:t>
      </w:r>
      <w:r w:rsidR="00831DFF">
        <w:t>Furthermore,</w:t>
      </w:r>
      <w:r>
        <w:t xml:space="preserve"> clinical staff</w:t>
      </w:r>
      <w:r w:rsidR="00831DFF">
        <w:t xml:space="preserve"> bandings 5 – 7 (lowest banding employed within the ICB for this category) have the highest levels of staff reporting to have a disability. Non-Clinical bandings see the same trend with 8c to VSM showing the lowest </w:t>
      </w:r>
      <w:r w:rsidR="00831DFF">
        <w:lastRenderedPageBreak/>
        <w:t xml:space="preserve">levels of declared disability (5.30%) in comparison to band 4 and below, showing the highest levels (12.70%)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1150"/>
        <w:gridCol w:w="1150"/>
        <w:gridCol w:w="1217"/>
        <w:gridCol w:w="1150"/>
        <w:gridCol w:w="1250"/>
        <w:gridCol w:w="1347"/>
      </w:tblGrid>
      <w:tr w:rsidR="00A54701" w14:paraId="33E9F043" w14:textId="77777777" w:rsidTr="00E808BA">
        <w:tc>
          <w:tcPr>
            <w:tcW w:w="2830" w:type="dxa"/>
            <w:vMerge w:val="restart"/>
          </w:tcPr>
          <w:p w14:paraId="23E2ECC5" w14:textId="64A702A2" w:rsidR="00B84DF2" w:rsidRDefault="00B84DF2" w:rsidP="009D7911">
            <w:r>
              <w:t xml:space="preserve">Banding </w:t>
            </w:r>
          </w:p>
        </w:tc>
        <w:tc>
          <w:tcPr>
            <w:tcW w:w="2477" w:type="dxa"/>
            <w:gridSpan w:val="3"/>
            <w:shd w:val="clear" w:color="auto" w:fill="BFBFBF" w:themeFill="accent6"/>
          </w:tcPr>
          <w:p w14:paraId="53A1F651" w14:textId="6828251A" w:rsidR="00B84DF2" w:rsidRDefault="00B84DF2" w:rsidP="009D7911">
            <w:r>
              <w:t>Non-Clinical</w:t>
            </w:r>
          </w:p>
        </w:tc>
        <w:tc>
          <w:tcPr>
            <w:tcW w:w="3802" w:type="dxa"/>
            <w:gridSpan w:val="3"/>
            <w:shd w:val="clear" w:color="auto" w:fill="BFBFBF" w:themeFill="accent6"/>
          </w:tcPr>
          <w:p w14:paraId="6EC919A6" w14:textId="1F7A5AD7" w:rsidR="00B84DF2" w:rsidRDefault="00B84DF2" w:rsidP="009D7911">
            <w:r>
              <w:t xml:space="preserve">Clinical </w:t>
            </w:r>
          </w:p>
        </w:tc>
      </w:tr>
      <w:tr w:rsidR="00A54701" w14:paraId="5EC5B1DF" w14:textId="77777777" w:rsidTr="00E808BA">
        <w:tc>
          <w:tcPr>
            <w:tcW w:w="2830" w:type="dxa"/>
            <w:vMerge/>
            <w:shd w:val="clear" w:color="auto" w:fill="C3C5EE" w:themeFill="accent4"/>
          </w:tcPr>
          <w:p w14:paraId="30B31707" w14:textId="761CF104" w:rsidR="00B84DF2" w:rsidRDefault="00B84DF2" w:rsidP="009D7911"/>
        </w:tc>
        <w:tc>
          <w:tcPr>
            <w:tcW w:w="363" w:type="dxa"/>
            <w:shd w:val="clear" w:color="auto" w:fill="C3C5EE" w:themeFill="accent4"/>
          </w:tcPr>
          <w:p w14:paraId="61873577" w14:textId="7C841AA0" w:rsidR="00B84DF2" w:rsidRDefault="00A54701" w:rsidP="009D7911">
            <w:r>
              <w:t>Disabled</w:t>
            </w:r>
          </w:p>
        </w:tc>
        <w:tc>
          <w:tcPr>
            <w:tcW w:w="897" w:type="dxa"/>
            <w:shd w:val="clear" w:color="auto" w:fill="C3C5EE" w:themeFill="accent4"/>
          </w:tcPr>
          <w:p w14:paraId="1B1B12D7" w14:textId="5322DCC5" w:rsidR="00B84DF2" w:rsidRDefault="00A54701" w:rsidP="009D7911">
            <w:r>
              <w:t>Non-Disabled</w:t>
            </w:r>
          </w:p>
        </w:tc>
        <w:tc>
          <w:tcPr>
            <w:tcW w:w="1217" w:type="dxa"/>
            <w:shd w:val="clear" w:color="auto" w:fill="C3C5EE" w:themeFill="accent4"/>
          </w:tcPr>
          <w:p w14:paraId="78AE7833" w14:textId="77777777" w:rsidR="00B84DF2" w:rsidRDefault="00B84DF2" w:rsidP="009D7911">
            <w:r>
              <w:t>Unknown</w:t>
            </w:r>
          </w:p>
        </w:tc>
        <w:tc>
          <w:tcPr>
            <w:tcW w:w="1146" w:type="dxa"/>
            <w:shd w:val="clear" w:color="auto" w:fill="C3C5EE" w:themeFill="accent4"/>
          </w:tcPr>
          <w:p w14:paraId="1A695A1D" w14:textId="1EA80325" w:rsidR="00B84DF2" w:rsidRDefault="00A54701" w:rsidP="009D7911">
            <w:r>
              <w:t>Disabled</w:t>
            </w:r>
          </w:p>
        </w:tc>
        <w:tc>
          <w:tcPr>
            <w:tcW w:w="1276" w:type="dxa"/>
            <w:shd w:val="clear" w:color="auto" w:fill="C3C5EE" w:themeFill="accent4"/>
          </w:tcPr>
          <w:p w14:paraId="56B2C67A" w14:textId="163EA7EA" w:rsidR="00B84DF2" w:rsidRDefault="00A54701" w:rsidP="009D7911">
            <w:r>
              <w:t>Non-Disabled</w:t>
            </w:r>
          </w:p>
        </w:tc>
        <w:tc>
          <w:tcPr>
            <w:tcW w:w="1380" w:type="dxa"/>
            <w:shd w:val="clear" w:color="auto" w:fill="C3C5EE" w:themeFill="accent4"/>
          </w:tcPr>
          <w:p w14:paraId="23751C26" w14:textId="77777777" w:rsidR="00B84DF2" w:rsidRDefault="00B84DF2" w:rsidP="009D7911">
            <w:r>
              <w:t>Unknown</w:t>
            </w:r>
          </w:p>
        </w:tc>
      </w:tr>
      <w:tr w:rsidR="00A54701" w14:paraId="6D705781" w14:textId="77777777" w:rsidTr="00E808BA">
        <w:tc>
          <w:tcPr>
            <w:tcW w:w="2830" w:type="dxa"/>
            <w:shd w:val="clear" w:color="auto" w:fill="C3C5EE" w:themeFill="accent4"/>
          </w:tcPr>
          <w:p w14:paraId="6145B092" w14:textId="7864BF6A" w:rsidR="00B84DF2" w:rsidRDefault="00B84DF2" w:rsidP="009D7911">
            <w:r>
              <w:t>&lt;1 to 4</w:t>
            </w:r>
          </w:p>
        </w:tc>
        <w:tc>
          <w:tcPr>
            <w:tcW w:w="363" w:type="dxa"/>
            <w:shd w:val="clear" w:color="auto" w:fill="EAF2C0"/>
          </w:tcPr>
          <w:p w14:paraId="4993B4D8" w14:textId="2CADED19" w:rsidR="00B84DF2" w:rsidRDefault="00A54701" w:rsidP="009D7911">
            <w:r>
              <w:t>12.70%</w:t>
            </w:r>
          </w:p>
        </w:tc>
        <w:tc>
          <w:tcPr>
            <w:tcW w:w="897" w:type="dxa"/>
          </w:tcPr>
          <w:p w14:paraId="428D9A36" w14:textId="1DBE00B3" w:rsidR="00B84DF2" w:rsidRDefault="00A54701" w:rsidP="009D7911">
            <w:r>
              <w:t>80.30%</w:t>
            </w:r>
          </w:p>
        </w:tc>
        <w:tc>
          <w:tcPr>
            <w:tcW w:w="1217" w:type="dxa"/>
          </w:tcPr>
          <w:p w14:paraId="4D61D7FE" w14:textId="59C846D6" w:rsidR="00B84DF2" w:rsidRDefault="00A54701" w:rsidP="009D7911">
            <w:r>
              <w:t>7.00%</w:t>
            </w:r>
          </w:p>
        </w:tc>
        <w:tc>
          <w:tcPr>
            <w:tcW w:w="1146" w:type="dxa"/>
            <w:shd w:val="clear" w:color="auto" w:fill="EAF2C0"/>
          </w:tcPr>
          <w:p w14:paraId="71D33B77" w14:textId="389C3E1A" w:rsidR="00B84DF2" w:rsidRDefault="00A54701" w:rsidP="009D7911">
            <w:r>
              <w:t>0.00%</w:t>
            </w:r>
          </w:p>
        </w:tc>
        <w:tc>
          <w:tcPr>
            <w:tcW w:w="1276" w:type="dxa"/>
          </w:tcPr>
          <w:p w14:paraId="4F9D25DD" w14:textId="614ABB77" w:rsidR="00B84DF2" w:rsidRDefault="00A54701" w:rsidP="009D7911">
            <w:r>
              <w:t>0.00%</w:t>
            </w:r>
          </w:p>
        </w:tc>
        <w:tc>
          <w:tcPr>
            <w:tcW w:w="1380" w:type="dxa"/>
          </w:tcPr>
          <w:p w14:paraId="5AC25CD6" w14:textId="1332A2DB" w:rsidR="00B84DF2" w:rsidRDefault="00A54701" w:rsidP="009D7911">
            <w:r>
              <w:t>0.00%</w:t>
            </w:r>
          </w:p>
        </w:tc>
      </w:tr>
      <w:tr w:rsidR="00A54701" w14:paraId="195470E1" w14:textId="77777777" w:rsidTr="00E808BA">
        <w:tc>
          <w:tcPr>
            <w:tcW w:w="2830" w:type="dxa"/>
            <w:shd w:val="clear" w:color="auto" w:fill="C3C5EE" w:themeFill="accent4"/>
          </w:tcPr>
          <w:p w14:paraId="09D9E0EF" w14:textId="2A24E986" w:rsidR="00B84DF2" w:rsidRDefault="00B84DF2" w:rsidP="009D7911">
            <w:r>
              <w:t>5 to 7</w:t>
            </w:r>
          </w:p>
        </w:tc>
        <w:tc>
          <w:tcPr>
            <w:tcW w:w="363" w:type="dxa"/>
            <w:shd w:val="clear" w:color="auto" w:fill="EAF2C0"/>
          </w:tcPr>
          <w:p w14:paraId="0696E80D" w14:textId="276DA171" w:rsidR="00B84DF2" w:rsidRDefault="00A54701" w:rsidP="009D7911">
            <w:r>
              <w:t>11.80%</w:t>
            </w:r>
          </w:p>
        </w:tc>
        <w:tc>
          <w:tcPr>
            <w:tcW w:w="897" w:type="dxa"/>
          </w:tcPr>
          <w:p w14:paraId="6650E92D" w14:textId="1D2D8B87" w:rsidR="00B84DF2" w:rsidRDefault="00A54701" w:rsidP="009D7911">
            <w:r>
              <w:t>78.90%</w:t>
            </w:r>
          </w:p>
        </w:tc>
        <w:tc>
          <w:tcPr>
            <w:tcW w:w="1217" w:type="dxa"/>
          </w:tcPr>
          <w:p w14:paraId="490E54DD" w14:textId="37DAC48A" w:rsidR="00B84DF2" w:rsidRDefault="00A54701" w:rsidP="009D7911">
            <w:r>
              <w:t>9.20%</w:t>
            </w:r>
          </w:p>
        </w:tc>
        <w:tc>
          <w:tcPr>
            <w:tcW w:w="1146" w:type="dxa"/>
            <w:shd w:val="clear" w:color="auto" w:fill="EAF2C0"/>
          </w:tcPr>
          <w:p w14:paraId="6AE9BD02" w14:textId="7865C51A" w:rsidR="00B84DF2" w:rsidRDefault="00A54701" w:rsidP="009D7911">
            <w:r>
              <w:t>8.20%</w:t>
            </w:r>
          </w:p>
        </w:tc>
        <w:tc>
          <w:tcPr>
            <w:tcW w:w="1276" w:type="dxa"/>
          </w:tcPr>
          <w:p w14:paraId="2404ED9D" w14:textId="530A937C" w:rsidR="00B84DF2" w:rsidRDefault="00A54701" w:rsidP="009D7911">
            <w:r>
              <w:t>85.90%</w:t>
            </w:r>
          </w:p>
        </w:tc>
        <w:tc>
          <w:tcPr>
            <w:tcW w:w="1380" w:type="dxa"/>
          </w:tcPr>
          <w:p w14:paraId="6C1C6B7C" w14:textId="522BAC89" w:rsidR="00B84DF2" w:rsidRDefault="00A54701" w:rsidP="009D7911">
            <w:r>
              <w:t>5.90%</w:t>
            </w:r>
          </w:p>
        </w:tc>
      </w:tr>
      <w:tr w:rsidR="00A54701" w14:paraId="5FC4C5E8" w14:textId="77777777" w:rsidTr="00E808BA">
        <w:tc>
          <w:tcPr>
            <w:tcW w:w="2830" w:type="dxa"/>
            <w:shd w:val="clear" w:color="auto" w:fill="C3C5EE" w:themeFill="accent4"/>
          </w:tcPr>
          <w:p w14:paraId="577B32E4" w14:textId="154A743B" w:rsidR="00B84DF2" w:rsidRDefault="00B84DF2" w:rsidP="009D7911">
            <w:r>
              <w:t>8a &amp; 8b</w:t>
            </w:r>
          </w:p>
        </w:tc>
        <w:tc>
          <w:tcPr>
            <w:tcW w:w="363" w:type="dxa"/>
            <w:shd w:val="clear" w:color="auto" w:fill="EAF2C0"/>
          </w:tcPr>
          <w:p w14:paraId="2C5C35C9" w14:textId="33D7245C" w:rsidR="00B84DF2" w:rsidRDefault="00A54701" w:rsidP="009D7911">
            <w:r>
              <w:t>9.00%</w:t>
            </w:r>
          </w:p>
        </w:tc>
        <w:tc>
          <w:tcPr>
            <w:tcW w:w="897" w:type="dxa"/>
          </w:tcPr>
          <w:p w14:paraId="68883B81" w14:textId="774E6BDE" w:rsidR="00B84DF2" w:rsidRDefault="00A54701" w:rsidP="009D7911">
            <w:r>
              <w:t>77.60%</w:t>
            </w:r>
          </w:p>
        </w:tc>
        <w:tc>
          <w:tcPr>
            <w:tcW w:w="1217" w:type="dxa"/>
          </w:tcPr>
          <w:p w14:paraId="4D5FBBC0" w14:textId="734A9765" w:rsidR="00B84DF2" w:rsidRDefault="00A54701" w:rsidP="009D7911">
            <w:r>
              <w:t>13.40%</w:t>
            </w:r>
          </w:p>
        </w:tc>
        <w:tc>
          <w:tcPr>
            <w:tcW w:w="1146" w:type="dxa"/>
            <w:shd w:val="clear" w:color="auto" w:fill="EAF2C0"/>
          </w:tcPr>
          <w:p w14:paraId="16ED215C" w14:textId="22494622" w:rsidR="00B84DF2" w:rsidRDefault="00A54701" w:rsidP="009D7911">
            <w:r>
              <w:t>3.00%</w:t>
            </w:r>
          </w:p>
        </w:tc>
        <w:tc>
          <w:tcPr>
            <w:tcW w:w="1276" w:type="dxa"/>
          </w:tcPr>
          <w:p w14:paraId="22259194" w14:textId="2896BA66" w:rsidR="00B84DF2" w:rsidRDefault="00A54701" w:rsidP="009D7911">
            <w:r>
              <w:t>93.90%</w:t>
            </w:r>
          </w:p>
        </w:tc>
        <w:tc>
          <w:tcPr>
            <w:tcW w:w="1380" w:type="dxa"/>
          </w:tcPr>
          <w:p w14:paraId="164E955D" w14:textId="0F2FF6BC" w:rsidR="00B84DF2" w:rsidRDefault="00A54701" w:rsidP="009D7911">
            <w:r>
              <w:t>3.00%</w:t>
            </w:r>
          </w:p>
        </w:tc>
      </w:tr>
      <w:tr w:rsidR="00A54701" w14:paraId="5CED1A68" w14:textId="77777777" w:rsidTr="00E808BA">
        <w:tc>
          <w:tcPr>
            <w:tcW w:w="2830" w:type="dxa"/>
            <w:shd w:val="clear" w:color="auto" w:fill="C3C5EE" w:themeFill="accent4"/>
          </w:tcPr>
          <w:p w14:paraId="1AE94D2B" w14:textId="292D33FC" w:rsidR="00B84DF2" w:rsidRDefault="00B84DF2" w:rsidP="009D7911">
            <w:r>
              <w:t>8c to VSM</w:t>
            </w:r>
          </w:p>
        </w:tc>
        <w:tc>
          <w:tcPr>
            <w:tcW w:w="363" w:type="dxa"/>
            <w:shd w:val="clear" w:color="auto" w:fill="EAF2C0"/>
          </w:tcPr>
          <w:p w14:paraId="03423614" w14:textId="5F9AB75F" w:rsidR="00B84DF2" w:rsidRDefault="00A54701" w:rsidP="009D7911">
            <w:r>
              <w:t>5.30%</w:t>
            </w:r>
          </w:p>
        </w:tc>
        <w:tc>
          <w:tcPr>
            <w:tcW w:w="897" w:type="dxa"/>
          </w:tcPr>
          <w:p w14:paraId="1E214D5F" w14:textId="168D1BD6" w:rsidR="00B84DF2" w:rsidRDefault="00A54701" w:rsidP="009D7911">
            <w:r>
              <w:t>84.20%</w:t>
            </w:r>
          </w:p>
        </w:tc>
        <w:tc>
          <w:tcPr>
            <w:tcW w:w="1217" w:type="dxa"/>
          </w:tcPr>
          <w:p w14:paraId="7EA20084" w14:textId="01A96E03" w:rsidR="00B84DF2" w:rsidRDefault="00A54701" w:rsidP="009D7911">
            <w:r>
              <w:t>10.50%</w:t>
            </w:r>
          </w:p>
        </w:tc>
        <w:tc>
          <w:tcPr>
            <w:tcW w:w="1146" w:type="dxa"/>
            <w:shd w:val="clear" w:color="auto" w:fill="EAF2C0"/>
          </w:tcPr>
          <w:p w14:paraId="578A9E8F" w14:textId="37062FB0" w:rsidR="00B84DF2" w:rsidRDefault="00A54701" w:rsidP="009D7911">
            <w:r>
              <w:t>0.00%</w:t>
            </w:r>
          </w:p>
        </w:tc>
        <w:tc>
          <w:tcPr>
            <w:tcW w:w="1276" w:type="dxa"/>
          </w:tcPr>
          <w:p w14:paraId="7BF1AC83" w14:textId="6B61ADA5" w:rsidR="00B84DF2" w:rsidRDefault="00A54701" w:rsidP="009D7911">
            <w:r>
              <w:t>100.0%</w:t>
            </w:r>
          </w:p>
        </w:tc>
        <w:tc>
          <w:tcPr>
            <w:tcW w:w="1380" w:type="dxa"/>
          </w:tcPr>
          <w:p w14:paraId="01741242" w14:textId="33CC1616" w:rsidR="00B84DF2" w:rsidRDefault="00A54701" w:rsidP="009D7911">
            <w:r>
              <w:t>0.00%</w:t>
            </w:r>
          </w:p>
        </w:tc>
      </w:tr>
    </w:tbl>
    <w:p w14:paraId="56CB08D8" w14:textId="77777777" w:rsidR="00B84DF2" w:rsidRDefault="00B84DF2" w:rsidP="00B5684E"/>
    <w:p w14:paraId="6F0F242B" w14:textId="08648AA2" w:rsidR="006A070B" w:rsidRDefault="006A070B" w:rsidP="00B5684E">
      <w:r>
        <w:t xml:space="preserve">It should also be noted that we are underrepresented at board level with </w:t>
      </w:r>
      <w:r w:rsidR="00F06030">
        <w:t>10%</w:t>
      </w:r>
      <w:r>
        <w:t xml:space="preserve"> recorded as Disabled, </w:t>
      </w:r>
      <w:r w:rsidR="00F06030">
        <w:t>70%</w:t>
      </w:r>
      <w:r>
        <w:t xml:space="preserve"> Non-disabled and </w:t>
      </w:r>
      <w:r w:rsidR="00F06030">
        <w:t>20%</w:t>
      </w:r>
      <w:r>
        <w:t xml:space="preserve"> unknown. </w:t>
      </w:r>
    </w:p>
    <w:p w14:paraId="6716638B" w14:textId="7AD94B88" w:rsidR="00093311" w:rsidRDefault="00093311" w:rsidP="00B5684E">
      <w:r>
        <w:t xml:space="preserve">Recruitment data shows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94"/>
        <w:gridCol w:w="1843"/>
        <w:gridCol w:w="1842"/>
      </w:tblGrid>
      <w:tr w:rsidR="008065E9" w14:paraId="4EC3C6C5" w14:textId="77777777" w:rsidTr="008065E9">
        <w:tc>
          <w:tcPr>
            <w:tcW w:w="4248" w:type="dxa"/>
            <w:shd w:val="clear" w:color="auto" w:fill="BFBFBF" w:themeFill="accent6"/>
          </w:tcPr>
          <w:p w14:paraId="26B2A5A9" w14:textId="0477CB53" w:rsidR="008065E9" w:rsidRDefault="008065E9" w:rsidP="00B5684E">
            <w:r>
              <w:t>Disability</w:t>
            </w:r>
          </w:p>
        </w:tc>
        <w:tc>
          <w:tcPr>
            <w:tcW w:w="1794" w:type="dxa"/>
            <w:shd w:val="clear" w:color="auto" w:fill="BFBFBF" w:themeFill="accent6"/>
          </w:tcPr>
          <w:p w14:paraId="2E8A1B9D" w14:textId="7C223BFE" w:rsidR="008065E9" w:rsidRDefault="008065E9" w:rsidP="00B5684E">
            <w:r>
              <w:t>% of total all Applications</w:t>
            </w:r>
          </w:p>
        </w:tc>
        <w:tc>
          <w:tcPr>
            <w:tcW w:w="1843" w:type="dxa"/>
            <w:shd w:val="clear" w:color="auto" w:fill="BFBFBF" w:themeFill="accent6"/>
          </w:tcPr>
          <w:p w14:paraId="03521A00" w14:textId="700106B7" w:rsidR="008065E9" w:rsidRDefault="008065E9" w:rsidP="00B5684E">
            <w:r>
              <w:t>% of total Shortlisted</w:t>
            </w:r>
          </w:p>
        </w:tc>
        <w:tc>
          <w:tcPr>
            <w:tcW w:w="1842" w:type="dxa"/>
            <w:shd w:val="clear" w:color="auto" w:fill="BFBFBF" w:themeFill="accent6"/>
          </w:tcPr>
          <w:p w14:paraId="6E83BBAD" w14:textId="6F09D638" w:rsidR="008065E9" w:rsidRDefault="008065E9" w:rsidP="00B5684E">
            <w:r>
              <w:t xml:space="preserve">% of total appointed </w:t>
            </w:r>
          </w:p>
        </w:tc>
      </w:tr>
      <w:tr w:rsidR="008065E9" w14:paraId="6BE02C8E" w14:textId="77777777" w:rsidTr="008065E9">
        <w:tc>
          <w:tcPr>
            <w:tcW w:w="4248" w:type="dxa"/>
            <w:shd w:val="clear" w:color="auto" w:fill="C3C5EE" w:themeFill="accent4"/>
          </w:tcPr>
          <w:p w14:paraId="47AD5533" w14:textId="164FC411" w:rsidR="008065E9" w:rsidRDefault="008065E9" w:rsidP="00C32DC5">
            <w:r>
              <w:t>No</w:t>
            </w:r>
          </w:p>
        </w:tc>
        <w:tc>
          <w:tcPr>
            <w:tcW w:w="1794" w:type="dxa"/>
          </w:tcPr>
          <w:p w14:paraId="5FAA5300" w14:textId="57BDD93E" w:rsidR="008065E9" w:rsidRPr="00C32DC5" w:rsidRDefault="008065E9" w:rsidP="00C32DC5">
            <w:r>
              <w:t>89.72</w:t>
            </w:r>
          </w:p>
        </w:tc>
        <w:tc>
          <w:tcPr>
            <w:tcW w:w="1843" w:type="dxa"/>
          </w:tcPr>
          <w:p w14:paraId="243F2029" w14:textId="48BB2532" w:rsidR="008065E9" w:rsidRDefault="008065E9" w:rsidP="00C32DC5">
            <w:r w:rsidRPr="004851AC">
              <w:t>80.79</w:t>
            </w:r>
          </w:p>
        </w:tc>
        <w:tc>
          <w:tcPr>
            <w:tcW w:w="1842" w:type="dxa"/>
          </w:tcPr>
          <w:p w14:paraId="314CD6FB" w14:textId="5BB69D5B" w:rsidR="008065E9" w:rsidRDefault="008065E9" w:rsidP="00C32DC5">
            <w:r w:rsidRPr="00FC7761">
              <w:t>84.44</w:t>
            </w:r>
          </w:p>
        </w:tc>
      </w:tr>
      <w:tr w:rsidR="008065E9" w14:paraId="66631BBF" w14:textId="77777777" w:rsidTr="008065E9">
        <w:tc>
          <w:tcPr>
            <w:tcW w:w="4248" w:type="dxa"/>
            <w:shd w:val="clear" w:color="auto" w:fill="C3C5EE" w:themeFill="accent4"/>
          </w:tcPr>
          <w:p w14:paraId="121A2778" w14:textId="246A14E7" w:rsidR="008065E9" w:rsidRDefault="008065E9" w:rsidP="00C32DC5">
            <w:r>
              <w:t>Yes</w:t>
            </w:r>
          </w:p>
        </w:tc>
        <w:tc>
          <w:tcPr>
            <w:tcW w:w="1794" w:type="dxa"/>
          </w:tcPr>
          <w:p w14:paraId="1068DF05" w14:textId="71D8DD11" w:rsidR="008065E9" w:rsidRPr="00C32DC5" w:rsidRDefault="008065E9" w:rsidP="00C32DC5">
            <w:r>
              <w:t>8.31</w:t>
            </w:r>
          </w:p>
        </w:tc>
        <w:tc>
          <w:tcPr>
            <w:tcW w:w="1843" w:type="dxa"/>
          </w:tcPr>
          <w:p w14:paraId="22406DAD" w14:textId="4E8EC089" w:rsidR="008065E9" w:rsidRDefault="008065E9" w:rsidP="00C32DC5">
            <w:r w:rsidRPr="004851AC">
              <w:t>17.14</w:t>
            </w:r>
          </w:p>
        </w:tc>
        <w:tc>
          <w:tcPr>
            <w:tcW w:w="1842" w:type="dxa"/>
          </w:tcPr>
          <w:p w14:paraId="011A3B57" w14:textId="07BF84DA" w:rsidR="008065E9" w:rsidRDefault="008065E9" w:rsidP="00C32DC5">
            <w:r w:rsidRPr="00FC7761">
              <w:t>14.44</w:t>
            </w:r>
          </w:p>
        </w:tc>
      </w:tr>
      <w:tr w:rsidR="008065E9" w14:paraId="723B4917" w14:textId="77777777" w:rsidTr="008065E9">
        <w:tc>
          <w:tcPr>
            <w:tcW w:w="4248" w:type="dxa"/>
            <w:shd w:val="clear" w:color="auto" w:fill="C3C5EE" w:themeFill="accent4"/>
          </w:tcPr>
          <w:p w14:paraId="2E3B7AD3" w14:textId="02DC4F64" w:rsidR="008065E9" w:rsidRDefault="008065E9" w:rsidP="00C32DC5">
            <w:r>
              <w:t xml:space="preserve">Not stated </w:t>
            </w:r>
          </w:p>
        </w:tc>
        <w:tc>
          <w:tcPr>
            <w:tcW w:w="1794" w:type="dxa"/>
          </w:tcPr>
          <w:p w14:paraId="3AE3C3E6" w14:textId="051D96A1" w:rsidR="008065E9" w:rsidRPr="00C32DC5" w:rsidRDefault="008065E9" w:rsidP="00C32DC5">
            <w:r>
              <w:t>1.98</w:t>
            </w:r>
          </w:p>
        </w:tc>
        <w:tc>
          <w:tcPr>
            <w:tcW w:w="1843" w:type="dxa"/>
          </w:tcPr>
          <w:p w14:paraId="4EDF20D3" w14:textId="557D2BA6" w:rsidR="008065E9" w:rsidRDefault="008065E9" w:rsidP="00C32DC5">
            <w:r w:rsidRPr="004851AC">
              <w:t>2.07</w:t>
            </w:r>
          </w:p>
        </w:tc>
        <w:tc>
          <w:tcPr>
            <w:tcW w:w="1842" w:type="dxa"/>
          </w:tcPr>
          <w:p w14:paraId="1E710E38" w14:textId="59585C09" w:rsidR="008065E9" w:rsidRDefault="008065E9" w:rsidP="00C32DC5">
            <w:r w:rsidRPr="00FC7761">
              <w:t>1.12</w:t>
            </w:r>
          </w:p>
        </w:tc>
      </w:tr>
    </w:tbl>
    <w:p w14:paraId="3DD0F302" w14:textId="77777777" w:rsidR="00093311" w:rsidRDefault="00093311" w:rsidP="00B5684E"/>
    <w:p w14:paraId="1A390110" w14:textId="77777777" w:rsidR="00831DFF" w:rsidRDefault="00DB050D" w:rsidP="00DB050D">
      <w:r w:rsidRPr="00DB050D">
        <w:t xml:space="preserve">The data indicates that we are underrepresented in terms of applications from those with disabilities however, proportionally this increases through shortlisting and interview, </w:t>
      </w:r>
      <w:r w:rsidR="00831DFF">
        <w:t xml:space="preserve">but </w:t>
      </w:r>
      <w:r w:rsidRPr="00DB050D">
        <w:t xml:space="preserve">drops again at appointment. It should be noted that non-disclosure could skew these figures. </w:t>
      </w:r>
    </w:p>
    <w:p w14:paraId="7D36F599" w14:textId="76FA6833" w:rsidR="00DB050D" w:rsidRPr="00DB050D" w:rsidRDefault="00DB050D" w:rsidP="00DB050D">
      <w:r w:rsidRPr="00DB050D">
        <w:t>The W</w:t>
      </w:r>
      <w:r w:rsidR="00831DFF">
        <w:t>D</w:t>
      </w:r>
      <w:r w:rsidRPr="00DB050D">
        <w:t>ES data indicates that the relative likelihood of non-disabled candidate being appointed from shortlisting compared to a disabled candidate is 1.</w:t>
      </w:r>
      <w:r>
        <w:t>24</w:t>
      </w:r>
      <w:r w:rsidRPr="00DB050D">
        <w:t xml:space="preserve"> (a figure above 1 indicates that non-disabled staff are more likely to be appointed). Within the recruitment data type of disability has not been made available</w:t>
      </w:r>
      <w:r w:rsidR="00831DFF">
        <w:t xml:space="preserve"> to be able to provide a clearer picture </w:t>
      </w:r>
      <w:r w:rsidR="00052C84">
        <w:t xml:space="preserve">of where </w:t>
      </w:r>
      <w:r w:rsidR="00831DFF">
        <w:t xml:space="preserve">inequalities </w:t>
      </w:r>
      <w:r w:rsidR="00052C84">
        <w:t xml:space="preserve">may exist </w:t>
      </w:r>
      <w:r w:rsidR="00831DFF">
        <w:t>depe</w:t>
      </w:r>
      <w:r w:rsidR="00052C84">
        <w:t xml:space="preserve">ndent on </w:t>
      </w:r>
      <w:proofErr w:type="gramStart"/>
      <w:r w:rsidR="00052C84">
        <w:t>individuals</w:t>
      </w:r>
      <w:proofErr w:type="gramEnd"/>
      <w:r w:rsidR="00052C84">
        <w:t xml:space="preserve"> disabilities. </w:t>
      </w:r>
    </w:p>
    <w:p w14:paraId="44CFCB06" w14:textId="77777777" w:rsidR="009902DB" w:rsidRPr="009902DB" w:rsidRDefault="00197520" w:rsidP="00B5684E">
      <w:pPr>
        <w:rPr>
          <w:b/>
          <w:bCs/>
        </w:rPr>
      </w:pPr>
      <w:r w:rsidRPr="009902DB">
        <w:rPr>
          <w:b/>
          <w:bCs/>
        </w:rPr>
        <w:t>Staff survey data</w:t>
      </w:r>
      <w:r w:rsidR="009902DB" w:rsidRPr="009902DB">
        <w:rPr>
          <w:b/>
          <w:bCs/>
        </w:rPr>
        <w:t xml:space="preserve"> </w:t>
      </w:r>
    </w:p>
    <w:p w14:paraId="6945F137" w14:textId="4CC20C38" w:rsidR="00C91692" w:rsidRDefault="009902DB" w:rsidP="00B5684E">
      <w:r>
        <w:t xml:space="preserve">The </w:t>
      </w:r>
      <w:r w:rsidR="00197520">
        <w:t xml:space="preserve">likelihood of entering a formal disciplinary process; we have had no known recorded cases of staff members with a disability </w:t>
      </w:r>
      <w:proofErr w:type="gramStart"/>
      <w:r w:rsidR="00197520">
        <w:t>entering into</w:t>
      </w:r>
      <w:proofErr w:type="gramEnd"/>
      <w:r w:rsidR="00197520">
        <w:t xml:space="preserve"> a formal capability process within the last 3 years. </w:t>
      </w:r>
    </w:p>
    <w:p w14:paraId="4683CDF3" w14:textId="67789B47" w:rsidR="00197520" w:rsidRDefault="00197520" w:rsidP="00B5684E">
      <w:r>
        <w:t xml:space="preserve">Additional information from the staff survey has also been reviewed in the context of disability (see </w:t>
      </w:r>
      <w:r w:rsidR="00F06030">
        <w:t>Appendix</w:t>
      </w:r>
      <w:r>
        <w:t xml:space="preserve"> </w:t>
      </w:r>
      <w:r w:rsidR="009902DB">
        <w:t>2</w:t>
      </w:r>
      <w:r>
        <w:t xml:space="preserve">). </w:t>
      </w:r>
    </w:p>
    <w:p w14:paraId="1D57BBAC" w14:textId="1E35F5FF" w:rsidR="00197520" w:rsidRDefault="00197520" w:rsidP="00B5684E">
      <w:r>
        <w:t xml:space="preserve">To summarise (noting max sample size of Disabled – </w:t>
      </w:r>
      <w:r w:rsidR="009902DB">
        <w:t>93</w:t>
      </w:r>
      <w:r>
        <w:t xml:space="preserve">, Non-Disabled – </w:t>
      </w:r>
      <w:r w:rsidR="009902DB">
        <w:t>256</w:t>
      </w:r>
      <w: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418"/>
        <w:gridCol w:w="1380"/>
      </w:tblGrid>
      <w:tr w:rsidR="00C91692" w14:paraId="0374D291" w14:textId="77777777" w:rsidTr="00C91692">
        <w:tc>
          <w:tcPr>
            <w:tcW w:w="5098" w:type="dxa"/>
            <w:shd w:val="clear" w:color="auto" w:fill="C3C5EE" w:themeFill="accent4"/>
          </w:tcPr>
          <w:p w14:paraId="356FFAFE" w14:textId="4A0E6C00" w:rsidR="00C91692" w:rsidRDefault="009902DB" w:rsidP="00B5684E">
            <w:bookmarkStart w:id="1" w:name="_Hlk200529856"/>
            <w:r>
              <w:t>Staff Survey questions</w:t>
            </w:r>
          </w:p>
        </w:tc>
        <w:tc>
          <w:tcPr>
            <w:tcW w:w="1843" w:type="dxa"/>
            <w:shd w:val="clear" w:color="auto" w:fill="C3C5EE" w:themeFill="accent4"/>
          </w:tcPr>
          <w:p w14:paraId="23FCB12D" w14:textId="5B20031E" w:rsidR="00C91692" w:rsidRDefault="00C91692" w:rsidP="00B5684E">
            <w:r>
              <w:t>% organisation overall</w:t>
            </w:r>
          </w:p>
        </w:tc>
        <w:tc>
          <w:tcPr>
            <w:tcW w:w="1418" w:type="dxa"/>
            <w:shd w:val="clear" w:color="auto" w:fill="C3C5EE" w:themeFill="accent4"/>
          </w:tcPr>
          <w:p w14:paraId="3025C917" w14:textId="4A9E32D7" w:rsidR="00C91692" w:rsidRDefault="00C91692" w:rsidP="00B5684E">
            <w:r>
              <w:t xml:space="preserve">% </w:t>
            </w:r>
            <w:r w:rsidR="00197520">
              <w:t>Disabled</w:t>
            </w:r>
          </w:p>
        </w:tc>
        <w:tc>
          <w:tcPr>
            <w:tcW w:w="1380" w:type="dxa"/>
            <w:shd w:val="clear" w:color="auto" w:fill="C3C5EE" w:themeFill="accent4"/>
          </w:tcPr>
          <w:p w14:paraId="34A0449C" w14:textId="32DF99F4" w:rsidR="00C91692" w:rsidRDefault="00C91692" w:rsidP="00B5684E">
            <w:r>
              <w:t xml:space="preserve">% </w:t>
            </w:r>
            <w:r w:rsidR="00197520">
              <w:t xml:space="preserve">Non-Disabled </w:t>
            </w:r>
          </w:p>
        </w:tc>
      </w:tr>
      <w:tr w:rsidR="00C91692" w14:paraId="52CF7C2E" w14:textId="77777777" w:rsidTr="00C91692">
        <w:tc>
          <w:tcPr>
            <w:tcW w:w="5098" w:type="dxa"/>
          </w:tcPr>
          <w:p w14:paraId="33BEB980" w14:textId="7AD546FF" w:rsidR="00C91692" w:rsidRDefault="009902DB" w:rsidP="00B5684E">
            <w:r w:rsidRPr="009902DB">
              <w:t>Percentage of disabled staff compared to non-disabled staff experiencing harassment, bullying or abuse from patients, managers or colleagues</w:t>
            </w:r>
          </w:p>
        </w:tc>
        <w:tc>
          <w:tcPr>
            <w:tcW w:w="1843" w:type="dxa"/>
          </w:tcPr>
          <w:p w14:paraId="36DF3F83" w14:textId="3567A105" w:rsidR="00C91692" w:rsidRDefault="009902DB" w:rsidP="00B5684E">
            <w:r>
              <w:t>22.8</w:t>
            </w:r>
          </w:p>
        </w:tc>
        <w:tc>
          <w:tcPr>
            <w:tcW w:w="1418" w:type="dxa"/>
          </w:tcPr>
          <w:p w14:paraId="2D946087" w14:textId="7AC1D481" w:rsidR="00C91692" w:rsidRDefault="009902DB" w:rsidP="00B5684E">
            <w:r>
              <w:t>34.4</w:t>
            </w:r>
          </w:p>
        </w:tc>
        <w:tc>
          <w:tcPr>
            <w:tcW w:w="1380" w:type="dxa"/>
          </w:tcPr>
          <w:p w14:paraId="3047F003" w14:textId="26139878" w:rsidR="00C91692" w:rsidRDefault="009902DB" w:rsidP="00B5684E">
            <w:r>
              <w:t>18.8</w:t>
            </w:r>
          </w:p>
        </w:tc>
      </w:tr>
      <w:tr w:rsidR="00C91692" w14:paraId="593D322A" w14:textId="77777777" w:rsidTr="00C91692">
        <w:tc>
          <w:tcPr>
            <w:tcW w:w="5098" w:type="dxa"/>
          </w:tcPr>
          <w:p w14:paraId="7CDBC96C" w14:textId="5B7960F4" w:rsidR="00C91692" w:rsidRDefault="009902DB" w:rsidP="00B5684E">
            <w:r w:rsidRPr="009902DB">
              <w:lastRenderedPageBreak/>
              <w:t>Percentage of disabled staff compared to non-disabled staff saying that the last time they experienced harassment, bullying or abuse at work, they or a colleague reported it</w:t>
            </w:r>
          </w:p>
        </w:tc>
        <w:tc>
          <w:tcPr>
            <w:tcW w:w="1843" w:type="dxa"/>
          </w:tcPr>
          <w:p w14:paraId="16CB36D6" w14:textId="7DE7ED4B" w:rsidR="00C91692" w:rsidRDefault="009902DB" w:rsidP="00B5684E">
            <w:r>
              <w:t>46.6</w:t>
            </w:r>
          </w:p>
        </w:tc>
        <w:tc>
          <w:tcPr>
            <w:tcW w:w="1418" w:type="dxa"/>
          </w:tcPr>
          <w:p w14:paraId="0D037A4D" w14:textId="0F7A825E" w:rsidR="00C91692" w:rsidRDefault="009902DB" w:rsidP="00B5684E">
            <w:r>
              <w:t>46.4</w:t>
            </w:r>
          </w:p>
        </w:tc>
        <w:tc>
          <w:tcPr>
            <w:tcW w:w="1380" w:type="dxa"/>
          </w:tcPr>
          <w:p w14:paraId="5977852F" w14:textId="7AAF2623" w:rsidR="00C91692" w:rsidRDefault="009902DB" w:rsidP="00B5684E">
            <w:r>
              <w:t>46.7</w:t>
            </w:r>
          </w:p>
        </w:tc>
      </w:tr>
      <w:tr w:rsidR="00C91692" w14:paraId="59B1A550" w14:textId="77777777" w:rsidTr="00C91692">
        <w:tc>
          <w:tcPr>
            <w:tcW w:w="5098" w:type="dxa"/>
          </w:tcPr>
          <w:p w14:paraId="1BBA6A26" w14:textId="5F6D5B1B" w:rsidR="00C91692" w:rsidRDefault="009902DB" w:rsidP="00B5684E">
            <w:r w:rsidRPr="009902DB">
              <w:t>Percentage of disabled staff compared to non-disabled staff believing that their trust provides equal opportunities for career progression or promotion</w:t>
            </w:r>
          </w:p>
        </w:tc>
        <w:tc>
          <w:tcPr>
            <w:tcW w:w="1843" w:type="dxa"/>
          </w:tcPr>
          <w:p w14:paraId="5986F511" w14:textId="26D0A2FF" w:rsidR="00C91692" w:rsidRDefault="009902DB" w:rsidP="00B5684E">
            <w:r>
              <w:t>55.7</w:t>
            </w:r>
          </w:p>
        </w:tc>
        <w:tc>
          <w:tcPr>
            <w:tcW w:w="1418" w:type="dxa"/>
          </w:tcPr>
          <w:p w14:paraId="29746F09" w14:textId="334BE337" w:rsidR="00C91692" w:rsidRDefault="009902DB" w:rsidP="00B5684E">
            <w:r>
              <w:t>57.0</w:t>
            </w:r>
          </w:p>
        </w:tc>
        <w:tc>
          <w:tcPr>
            <w:tcW w:w="1380" w:type="dxa"/>
          </w:tcPr>
          <w:p w14:paraId="72D46849" w14:textId="6E28F353" w:rsidR="00C91692" w:rsidRDefault="009902DB" w:rsidP="00B5684E">
            <w:r>
              <w:t>55.3</w:t>
            </w:r>
          </w:p>
        </w:tc>
      </w:tr>
      <w:tr w:rsidR="009902DB" w14:paraId="0FF61C8B" w14:textId="77777777" w:rsidTr="00C91692">
        <w:tc>
          <w:tcPr>
            <w:tcW w:w="5098" w:type="dxa"/>
          </w:tcPr>
          <w:p w14:paraId="0E58ABE4" w14:textId="3C2ABF8F" w:rsidR="009902DB" w:rsidRPr="009902DB" w:rsidRDefault="009902DB" w:rsidP="00B5684E">
            <w:r w:rsidRPr="009902DB">
              <w:t>Percentage of disabled staff compared to non-disabled staff saying that they have felt pressure from their manager to come to work, despite not feeling well enough to perform their duties</w:t>
            </w:r>
          </w:p>
        </w:tc>
        <w:tc>
          <w:tcPr>
            <w:tcW w:w="1843" w:type="dxa"/>
          </w:tcPr>
          <w:p w14:paraId="7AC7088A" w14:textId="59A766D9" w:rsidR="009902DB" w:rsidRDefault="009902DB" w:rsidP="00B5684E">
            <w:r>
              <w:t>10.9</w:t>
            </w:r>
          </w:p>
        </w:tc>
        <w:tc>
          <w:tcPr>
            <w:tcW w:w="1418" w:type="dxa"/>
          </w:tcPr>
          <w:p w14:paraId="409F979C" w14:textId="076317EF" w:rsidR="009902DB" w:rsidRDefault="009902DB" w:rsidP="00B5684E">
            <w:r>
              <w:t>10.0</w:t>
            </w:r>
          </w:p>
        </w:tc>
        <w:tc>
          <w:tcPr>
            <w:tcW w:w="1380" w:type="dxa"/>
          </w:tcPr>
          <w:p w14:paraId="458810B7" w14:textId="40F18029" w:rsidR="009902DB" w:rsidRDefault="009902DB" w:rsidP="00B5684E">
            <w:r>
              <w:t>11.4</w:t>
            </w:r>
          </w:p>
        </w:tc>
      </w:tr>
      <w:tr w:rsidR="009902DB" w14:paraId="117EA98E" w14:textId="77777777" w:rsidTr="00C91692">
        <w:tc>
          <w:tcPr>
            <w:tcW w:w="5098" w:type="dxa"/>
          </w:tcPr>
          <w:p w14:paraId="73EE450B" w14:textId="7DB4AFA1" w:rsidR="009902DB" w:rsidRPr="009902DB" w:rsidRDefault="009902DB" w:rsidP="00B5684E">
            <w:r w:rsidRPr="009902DB">
              <w:t>Percentage of disabled staff compared to non-disabled staff saying that they are satisfied with the extent to which their organisation values their work</w:t>
            </w:r>
          </w:p>
        </w:tc>
        <w:tc>
          <w:tcPr>
            <w:tcW w:w="1843" w:type="dxa"/>
          </w:tcPr>
          <w:p w14:paraId="16DBB687" w14:textId="2BFACA6F" w:rsidR="009902DB" w:rsidRDefault="009902DB" w:rsidP="00B5684E">
            <w:r>
              <w:t>51.7</w:t>
            </w:r>
          </w:p>
        </w:tc>
        <w:tc>
          <w:tcPr>
            <w:tcW w:w="1418" w:type="dxa"/>
          </w:tcPr>
          <w:p w14:paraId="05F61284" w14:textId="343CA380" w:rsidR="009902DB" w:rsidRDefault="009902DB" w:rsidP="00B5684E">
            <w:r>
              <w:t>47.3</w:t>
            </w:r>
          </w:p>
        </w:tc>
        <w:tc>
          <w:tcPr>
            <w:tcW w:w="1380" w:type="dxa"/>
          </w:tcPr>
          <w:p w14:paraId="4C3111A4" w14:textId="44639E8F" w:rsidR="009902DB" w:rsidRDefault="009902DB" w:rsidP="00B5684E">
            <w:r>
              <w:t>52.7</w:t>
            </w:r>
          </w:p>
        </w:tc>
      </w:tr>
      <w:tr w:rsidR="009902DB" w14:paraId="15A3EBB7" w14:textId="77777777" w:rsidTr="00C91692">
        <w:tc>
          <w:tcPr>
            <w:tcW w:w="5098" w:type="dxa"/>
          </w:tcPr>
          <w:p w14:paraId="6E7CC063" w14:textId="39FD7E29" w:rsidR="009902DB" w:rsidRPr="009902DB" w:rsidRDefault="009902DB" w:rsidP="00B5684E">
            <w:r w:rsidRPr="009902DB">
              <w:t>Percentage of disabled staff saying that their employer has made reasonable adjustment(s) to enable them to carry out their work</w:t>
            </w:r>
          </w:p>
        </w:tc>
        <w:tc>
          <w:tcPr>
            <w:tcW w:w="1843" w:type="dxa"/>
          </w:tcPr>
          <w:p w14:paraId="42ED87DB" w14:textId="2E436DBA" w:rsidR="009902DB" w:rsidRDefault="009902DB" w:rsidP="00B5684E">
            <w:r>
              <w:t>90.0</w:t>
            </w:r>
          </w:p>
        </w:tc>
        <w:tc>
          <w:tcPr>
            <w:tcW w:w="1418" w:type="dxa"/>
          </w:tcPr>
          <w:p w14:paraId="2D81B9FF" w14:textId="3F8E9CBD" w:rsidR="009902DB" w:rsidRDefault="009902DB" w:rsidP="00B5684E">
            <w:r>
              <w:t>90.0</w:t>
            </w:r>
          </w:p>
        </w:tc>
        <w:tc>
          <w:tcPr>
            <w:tcW w:w="1380" w:type="dxa"/>
          </w:tcPr>
          <w:p w14:paraId="64C93284" w14:textId="67F28E27" w:rsidR="009902DB" w:rsidRDefault="009902DB" w:rsidP="00B5684E">
            <w:r>
              <w:t>**</w:t>
            </w:r>
          </w:p>
        </w:tc>
      </w:tr>
    </w:tbl>
    <w:bookmarkEnd w:id="1"/>
    <w:p w14:paraId="7D41617E" w14:textId="2C254D46" w:rsidR="00C91692" w:rsidRPr="009902DB" w:rsidRDefault="009902DB" w:rsidP="00B5684E">
      <w:pPr>
        <w:rPr>
          <w:i/>
          <w:iCs/>
          <w:sz w:val="18"/>
          <w:szCs w:val="18"/>
        </w:rPr>
      </w:pPr>
      <w:r w:rsidRPr="009902DB">
        <w:rPr>
          <w:i/>
          <w:iCs/>
          <w:sz w:val="18"/>
          <w:szCs w:val="18"/>
        </w:rPr>
        <w:t xml:space="preserve">** - data unavailable </w:t>
      </w:r>
    </w:p>
    <w:p w14:paraId="74B325DF" w14:textId="00710635" w:rsidR="00996EAC" w:rsidRDefault="00996EAC" w:rsidP="00570939">
      <w:pPr>
        <w:pStyle w:val="Heading2"/>
      </w:pPr>
      <w:r>
        <w:t xml:space="preserve">Actions: </w:t>
      </w:r>
    </w:p>
    <w:p w14:paraId="2876DF36" w14:textId="7ECCFB36" w:rsidR="00570939" w:rsidRDefault="00996EAC" w:rsidP="00B5684E">
      <w:r>
        <w:t xml:space="preserve">This data was previously </w:t>
      </w:r>
      <w:r w:rsidR="00570939">
        <w:t>planned to be woven into our O</w:t>
      </w:r>
      <w:r w:rsidR="00DB050D">
        <w:t xml:space="preserve">rganisational </w:t>
      </w:r>
      <w:r w:rsidR="00570939">
        <w:t>D</w:t>
      </w:r>
      <w:r w:rsidR="00DB050D">
        <w:t>evelopment</w:t>
      </w:r>
      <w:r w:rsidR="00570939">
        <w:t xml:space="preserve"> Plan; however, due to the NHS organisational change process resulting in reductions in corporate growth, ICBs are currently forming cluster organisations before formal mergers</w:t>
      </w:r>
      <w:r>
        <w:t>. Due to this, we</w:t>
      </w:r>
      <w:r w:rsidR="00570939">
        <w:t>’</w:t>
      </w:r>
      <w:r>
        <w:t xml:space="preserve">re unable to create clear actions as </w:t>
      </w:r>
      <w:r w:rsidR="00570939">
        <w:t>it</w:t>
      </w:r>
      <w:r>
        <w:t xml:space="preserve"> stand</w:t>
      </w:r>
      <w:r w:rsidR="00570939">
        <w:t>s</w:t>
      </w:r>
      <w:r>
        <w:t xml:space="preserve">. </w:t>
      </w:r>
    </w:p>
    <w:p w14:paraId="6D7892C1" w14:textId="361F084A" w:rsidR="00996EAC" w:rsidRDefault="00996EAC" w:rsidP="00B5684E">
      <w:r>
        <w:t xml:space="preserve">However, the following </w:t>
      </w:r>
      <w:r w:rsidR="00052C84">
        <w:t xml:space="preserve">action </w:t>
      </w:r>
      <w:r>
        <w:t xml:space="preserve">recommendations should be taken </w:t>
      </w:r>
      <w:r w:rsidR="000C333C">
        <w:t>into</w:t>
      </w:r>
      <w:r>
        <w:t xml:space="preserve"> consideration: </w:t>
      </w:r>
    </w:p>
    <w:p w14:paraId="3FFAE0E9" w14:textId="30320FC7" w:rsidR="000C333C" w:rsidRDefault="000C333C" w:rsidP="000C333C">
      <w:pPr>
        <w:pStyle w:val="ListParagraph"/>
        <w:numPr>
          <w:ilvl w:val="0"/>
          <w:numId w:val="5"/>
        </w:numPr>
      </w:pPr>
      <w:r>
        <w:t xml:space="preserve">Create a targeted action programme to increase disability visibility in higher-banded roles </w:t>
      </w:r>
    </w:p>
    <w:p w14:paraId="55751C92" w14:textId="45C8B5FF" w:rsidR="00570939" w:rsidRDefault="000C333C" w:rsidP="000C333C">
      <w:pPr>
        <w:pStyle w:val="ListParagraph"/>
        <w:numPr>
          <w:ilvl w:val="0"/>
          <w:numId w:val="5"/>
        </w:numPr>
      </w:pPr>
      <w:r>
        <w:t>Zero-tolerance approach to discrimination and improved reporting mechanisms to support staff impacted by discrimination and harassment</w:t>
      </w:r>
    </w:p>
    <w:p w14:paraId="005CB146" w14:textId="4044F0E5" w:rsidR="00DB050D" w:rsidRDefault="00DB050D" w:rsidP="00DB050D">
      <w:pPr>
        <w:pStyle w:val="ListParagraph"/>
        <w:numPr>
          <w:ilvl w:val="0"/>
          <w:numId w:val="5"/>
        </w:numPr>
      </w:pPr>
      <w:r w:rsidRPr="00DB050D">
        <w:t xml:space="preserve">Improvement in data collection, in particular intersectionality and protected characteristics information for talent development and learning activity </w:t>
      </w:r>
    </w:p>
    <w:p w14:paraId="4007D84E" w14:textId="2CEC5526" w:rsidR="000C333C" w:rsidRDefault="000C333C" w:rsidP="000C333C">
      <w:pPr>
        <w:pStyle w:val="ListParagraph"/>
        <w:numPr>
          <w:ilvl w:val="0"/>
          <w:numId w:val="5"/>
        </w:numPr>
      </w:pPr>
      <w:r>
        <w:t>Continue to support and promote flexible working policy to help colleagues to achieve work work-life balance</w:t>
      </w:r>
    </w:p>
    <w:p w14:paraId="72E8EA26" w14:textId="0F098ADF" w:rsidR="000C333C" w:rsidRDefault="000C333C" w:rsidP="000C333C">
      <w:pPr>
        <w:pStyle w:val="ListParagraph"/>
        <w:numPr>
          <w:ilvl w:val="0"/>
          <w:numId w:val="5"/>
        </w:numPr>
      </w:pPr>
      <w:r>
        <w:t xml:space="preserve">Continue to promote part-time and job share roles/opportunities </w:t>
      </w:r>
    </w:p>
    <w:p w14:paraId="17C5B633" w14:textId="2DFD384E" w:rsidR="000C333C" w:rsidRDefault="000C333C" w:rsidP="000C333C">
      <w:pPr>
        <w:pStyle w:val="ListParagraph"/>
        <w:numPr>
          <w:ilvl w:val="0"/>
          <w:numId w:val="5"/>
        </w:numPr>
      </w:pPr>
      <w:r>
        <w:t>Retain and promote the Hybrid Working policy to provide colleagues with greater flexibility to carry out their role while managing their personal health and wellbeing priorities</w:t>
      </w:r>
    </w:p>
    <w:p w14:paraId="54F37E94" w14:textId="4624B069" w:rsidR="000C333C" w:rsidRDefault="000C333C" w:rsidP="000C333C">
      <w:pPr>
        <w:pStyle w:val="ListParagraph"/>
        <w:numPr>
          <w:ilvl w:val="0"/>
          <w:numId w:val="5"/>
        </w:numPr>
      </w:pPr>
      <w:r>
        <w:t>Remain supportive and continue to provide a voice and platform for the disabled staff network to help develop interventions and collaborative actions that support and improve the experiences of our disabled colleagues within the workplace</w:t>
      </w:r>
    </w:p>
    <w:p w14:paraId="2E337B22" w14:textId="1975A108" w:rsidR="00570939" w:rsidRDefault="00570939" w:rsidP="00570939">
      <w:pPr>
        <w:pStyle w:val="Heading2"/>
      </w:pPr>
      <w:r>
        <w:lastRenderedPageBreak/>
        <w:t xml:space="preserve">Appendix </w:t>
      </w:r>
      <w:r w:rsidR="009811DE">
        <w:t>One</w:t>
      </w:r>
      <w:r>
        <w:t xml:space="preserve"> </w:t>
      </w:r>
    </w:p>
    <w:p w14:paraId="26E2506F" w14:textId="3D3FEDBF" w:rsidR="00570939" w:rsidRPr="00570939" w:rsidRDefault="00E80CB4" w:rsidP="00570939">
      <w:hyperlink r:id="rId11" w:history="1">
        <w:r>
          <w:rPr>
            <w:rStyle w:val="Hyperlink"/>
          </w:rPr>
          <w:t>S</w:t>
        </w:r>
        <w:r w:rsidR="00570939" w:rsidRPr="00E80CB4">
          <w:rPr>
            <w:rStyle w:val="Hyperlink"/>
          </w:rPr>
          <w:t>taff survey information</w:t>
        </w:r>
      </w:hyperlink>
      <w:r w:rsidR="00570939">
        <w:t xml:space="preserve"> </w:t>
      </w:r>
    </w:p>
    <w:sectPr w:rsidR="00570939" w:rsidRPr="00570939" w:rsidSect="00BD29C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2" w:right="1080" w:bottom="993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3727" w14:textId="77777777" w:rsidR="00886BF0" w:rsidRPr="00EF3A62" w:rsidRDefault="00886BF0" w:rsidP="008F7D93">
      <w:r w:rsidRPr="00EF3A62">
        <w:separator/>
      </w:r>
    </w:p>
  </w:endnote>
  <w:endnote w:type="continuationSeparator" w:id="0">
    <w:p w14:paraId="5776B1F7" w14:textId="77777777" w:rsidR="00886BF0" w:rsidRPr="00EF3A62" w:rsidRDefault="00886BF0" w:rsidP="008F7D93">
      <w:r w:rsidRPr="00EF3A62">
        <w:continuationSeparator/>
      </w:r>
    </w:p>
  </w:endnote>
  <w:endnote w:type="continuationNotice" w:id="1">
    <w:p w14:paraId="41A96C29" w14:textId="77777777" w:rsidR="00886BF0" w:rsidRPr="00EF3A62" w:rsidRDefault="00886BF0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7F087A2">
              <wp:extent cx="1816100" cy="221484"/>
              <wp:effectExtent l="0" t="0" r="0" b="7620"/>
              <wp:docPr id="517938285" name="Picture 1" descr="Image bottom left in the footer saying together we are BNSSG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938285" name="Picture 1" descr="Image bottom left in the footer saying together we are BNSSG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8240" behindDoc="0" locked="0" layoutInCell="1" allowOverlap="1" wp14:anchorId="3713CEEE" wp14:editId="77531690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899635052" name="Picture 3" descr="Purple. blue and green page banner on every pag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635052" name="Picture 3" descr="Purple. blue and green page banner on every page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55078"/>
      <w:docPartObj>
        <w:docPartGallery w:val="Page Numbers (Bottom of Page)"/>
        <w:docPartUnique/>
      </w:docPartObj>
    </w:sdtPr>
    <w:sdtContent>
      <w:p w14:paraId="3310FC49" w14:textId="77777777" w:rsidR="00656198" w:rsidRPr="00EF3A62" w:rsidRDefault="00656198" w:rsidP="00656198">
        <w:pPr>
          <w:pStyle w:val="Footer"/>
          <w:jc w:val="center"/>
        </w:pPr>
      </w:p>
      <w:p w14:paraId="2DAB3C96" w14:textId="77777777" w:rsidR="00656198" w:rsidRPr="00EF3A62" w:rsidRDefault="00656198" w:rsidP="00656198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>
          <w:t>2</w:t>
        </w:r>
        <w:r w:rsidRPr="00EF3A62">
          <w:fldChar w:fldCharType="end"/>
        </w:r>
      </w:p>
      <w:p w14:paraId="511026D9" w14:textId="77777777" w:rsidR="00656198" w:rsidRDefault="00656198" w:rsidP="00656198">
        <w:pPr>
          <w:pStyle w:val="Footer"/>
        </w:pPr>
        <w:r w:rsidRPr="00EF3A62">
          <w:rPr>
            <w:noProof/>
          </w:rPr>
          <w:drawing>
            <wp:inline distT="0" distB="0" distL="0" distR="0" wp14:anchorId="63B70214" wp14:editId="5FDE2138">
              <wp:extent cx="1816100" cy="221484"/>
              <wp:effectExtent l="0" t="0" r="0" b="7620"/>
              <wp:docPr id="991215516" name="Picture 1" descr="Bottom left of the document in the footer which says together we are BNSSG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1215516" name="Picture 1" descr="Bottom left of the document in the footer which says together we are BNSSG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F3A62">
          <w:rPr>
            <w:noProof/>
          </w:rPr>
          <w:drawing>
            <wp:anchor distT="0" distB="0" distL="114300" distR="114300" simplePos="0" relativeHeight="251658245" behindDoc="0" locked="0" layoutInCell="1" allowOverlap="1" wp14:anchorId="3066D6A5" wp14:editId="3A521E4B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143481380" name="Picture 3" descr="Purple, blue and green banner in the footer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481380" name="Picture 3" descr="Purple, blue and green banner in the footer. 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795E1F3" w14:textId="65002173" w:rsidR="00C46028" w:rsidRPr="00EF3A62" w:rsidRDefault="00C46028" w:rsidP="0065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1417" w14:textId="77777777" w:rsidR="00886BF0" w:rsidRPr="00EF3A62" w:rsidRDefault="00886BF0" w:rsidP="008F7D93">
      <w:r w:rsidRPr="00EF3A62">
        <w:separator/>
      </w:r>
    </w:p>
  </w:footnote>
  <w:footnote w:type="continuationSeparator" w:id="0">
    <w:p w14:paraId="23D72AB4" w14:textId="77777777" w:rsidR="00886BF0" w:rsidRPr="00EF3A62" w:rsidRDefault="00886BF0" w:rsidP="008F7D93">
      <w:r w:rsidRPr="00EF3A62">
        <w:continuationSeparator/>
      </w:r>
    </w:p>
  </w:footnote>
  <w:footnote w:type="continuationNotice" w:id="1">
    <w:p w14:paraId="3022CB8C" w14:textId="77777777" w:rsidR="00886BF0" w:rsidRPr="00EF3A62" w:rsidRDefault="00886BF0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6CC9441B" w:rsidR="0043401F" w:rsidRPr="00EF3A62" w:rsidRDefault="00DA13B8">
    <w:pPr>
      <w:pStyle w:val="Header"/>
    </w:pPr>
    <w:r w:rsidRPr="00EF3A62">
      <w:rPr>
        <w:noProof/>
      </w:rPr>
      <w:drawing>
        <wp:anchor distT="0" distB="0" distL="114300" distR="114300" simplePos="0" relativeHeight="251658241" behindDoc="0" locked="0" layoutInCell="1" allowOverlap="1" wp14:anchorId="7C75C362" wp14:editId="43AB3120">
          <wp:simplePos x="0" y="0"/>
          <wp:positionH relativeFrom="column">
            <wp:posOffset>4976703</wp:posOffset>
          </wp:positionH>
          <wp:positionV relativeFrom="paragraph">
            <wp:posOffset>361950</wp:posOffset>
          </wp:positionV>
          <wp:extent cx="1246297" cy="412750"/>
          <wp:effectExtent l="0" t="0" r="0" b="6350"/>
          <wp:wrapNone/>
          <wp:docPr id="170680668" name="Picture 3" descr="A table showing the percentage of staff with a recorded disability. It shows we have the highest number of staff with a recorded disability in our ogranisation.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0668" name="Picture 3" descr="A table showing the percentage of staff with a recorded disability. It shows we have the highest number of staff with a recorded disability in our ogranisation.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57" cy="41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8242" behindDoc="0" locked="0" layoutInCell="1" allowOverlap="1" wp14:anchorId="333785E6" wp14:editId="70952071">
          <wp:simplePos x="0" y="0"/>
          <wp:positionH relativeFrom="column">
            <wp:posOffset>101600</wp:posOffset>
          </wp:positionH>
          <wp:positionV relativeFrom="paragraph">
            <wp:posOffset>361950</wp:posOffset>
          </wp:positionV>
          <wp:extent cx="1028747" cy="355600"/>
          <wp:effectExtent l="0" t="0" r="0" b="6350"/>
          <wp:wrapNone/>
          <wp:docPr id="333828434" name="Picture 4" descr="Healthier Together logo top left of the document. 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28434" name="Picture 4" descr="Healthier Together logo top left of the document. 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47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0DA27A20" w:rsidR="004203CB" w:rsidRPr="00EF3A62" w:rsidRDefault="004203CB" w:rsidP="008F7D93">
    <w:pPr>
      <w:pStyle w:val="Header"/>
    </w:pPr>
  </w:p>
  <w:p w14:paraId="11E00D22" w14:textId="2E6F262C" w:rsidR="004C45E6" w:rsidRPr="00EF3A62" w:rsidRDefault="00656198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4" behindDoc="0" locked="0" layoutInCell="1" allowOverlap="1" wp14:anchorId="57054495" wp14:editId="17B594C1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3145790" cy="688340"/>
          <wp:effectExtent l="0" t="0" r="0" b="0"/>
          <wp:wrapNone/>
          <wp:docPr id="1280784265" name="Picture 4" descr="Large Healthier Together image top left on the first page of the document. 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84265" name="Picture 4" descr="Large Healthier Together image top left on the first page of the document. 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58243" behindDoc="0" locked="0" layoutInCell="1" allowOverlap="1" wp14:anchorId="2E095319" wp14:editId="54E8B975">
          <wp:simplePos x="0" y="0"/>
          <wp:positionH relativeFrom="column">
            <wp:posOffset>4159885</wp:posOffset>
          </wp:positionH>
          <wp:positionV relativeFrom="paragraph">
            <wp:posOffset>114300</wp:posOffset>
          </wp:positionV>
          <wp:extent cx="2065020" cy="683895"/>
          <wp:effectExtent l="0" t="0" r="0" b="1905"/>
          <wp:wrapNone/>
          <wp:docPr id="2106029463" name="Picture 3" descr="BNSSG ICB logo top right of the document. 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029463" name="Picture 3" descr="BNSSG ICB logo top right of the document. 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6D"/>
    <w:multiLevelType w:val="hybridMultilevel"/>
    <w:tmpl w:val="BDAC0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-72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0EC1C76"/>
    <w:multiLevelType w:val="multilevel"/>
    <w:tmpl w:val="20D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F2B82"/>
    <w:multiLevelType w:val="hybridMultilevel"/>
    <w:tmpl w:val="C06EADF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13744E"/>
    <w:multiLevelType w:val="hybridMultilevel"/>
    <w:tmpl w:val="3E92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4778">
    <w:abstractNumId w:val="4"/>
  </w:num>
  <w:num w:numId="2" w16cid:durableId="2035573269">
    <w:abstractNumId w:val="1"/>
  </w:num>
  <w:num w:numId="3" w16cid:durableId="1794133680">
    <w:abstractNumId w:val="0"/>
  </w:num>
  <w:num w:numId="4" w16cid:durableId="588999478">
    <w:abstractNumId w:val="3"/>
  </w:num>
  <w:num w:numId="5" w16cid:durableId="1072658235">
    <w:abstractNumId w:val="5"/>
  </w:num>
  <w:num w:numId="6" w16cid:durableId="1357000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527F"/>
    <w:rsid w:val="00006CFF"/>
    <w:rsid w:val="00007E7A"/>
    <w:rsid w:val="0001174A"/>
    <w:rsid w:val="00024844"/>
    <w:rsid w:val="0003731C"/>
    <w:rsid w:val="00041991"/>
    <w:rsid w:val="00042107"/>
    <w:rsid w:val="00052C84"/>
    <w:rsid w:val="00056D10"/>
    <w:rsid w:val="000615EE"/>
    <w:rsid w:val="00067CEF"/>
    <w:rsid w:val="00075534"/>
    <w:rsid w:val="00082A01"/>
    <w:rsid w:val="00093311"/>
    <w:rsid w:val="00096B8B"/>
    <w:rsid w:val="00097A66"/>
    <w:rsid w:val="0009D228"/>
    <w:rsid w:val="000A3FA2"/>
    <w:rsid w:val="000B1964"/>
    <w:rsid w:val="000C3093"/>
    <w:rsid w:val="000C333C"/>
    <w:rsid w:val="000D737C"/>
    <w:rsid w:val="000D76C8"/>
    <w:rsid w:val="000F4958"/>
    <w:rsid w:val="00117DCD"/>
    <w:rsid w:val="00124668"/>
    <w:rsid w:val="001256B5"/>
    <w:rsid w:val="00136B01"/>
    <w:rsid w:val="00162280"/>
    <w:rsid w:val="00165120"/>
    <w:rsid w:val="00166BBB"/>
    <w:rsid w:val="00167C5C"/>
    <w:rsid w:val="00167E4A"/>
    <w:rsid w:val="00173DE4"/>
    <w:rsid w:val="00174DD5"/>
    <w:rsid w:val="0017616F"/>
    <w:rsid w:val="00180936"/>
    <w:rsid w:val="00193E0D"/>
    <w:rsid w:val="00195910"/>
    <w:rsid w:val="00197520"/>
    <w:rsid w:val="001A3167"/>
    <w:rsid w:val="001A3200"/>
    <w:rsid w:val="001A59F6"/>
    <w:rsid w:val="001B7B44"/>
    <w:rsid w:val="001C548C"/>
    <w:rsid w:val="001D7CF7"/>
    <w:rsid w:val="001E704A"/>
    <w:rsid w:val="001F2B6B"/>
    <w:rsid w:val="00202D24"/>
    <w:rsid w:val="002066AB"/>
    <w:rsid w:val="00210A34"/>
    <w:rsid w:val="0021564E"/>
    <w:rsid w:val="002256F7"/>
    <w:rsid w:val="00226D41"/>
    <w:rsid w:val="00235E7E"/>
    <w:rsid w:val="00236BBD"/>
    <w:rsid w:val="00242141"/>
    <w:rsid w:val="0024336D"/>
    <w:rsid w:val="00246352"/>
    <w:rsid w:val="0025149E"/>
    <w:rsid w:val="00254538"/>
    <w:rsid w:val="002625EA"/>
    <w:rsid w:val="00264C16"/>
    <w:rsid w:val="00266657"/>
    <w:rsid w:val="002701E2"/>
    <w:rsid w:val="00271AFE"/>
    <w:rsid w:val="00272238"/>
    <w:rsid w:val="00283C79"/>
    <w:rsid w:val="00297E66"/>
    <w:rsid w:val="002A6725"/>
    <w:rsid w:val="002A7AEC"/>
    <w:rsid w:val="002B234B"/>
    <w:rsid w:val="002B37FB"/>
    <w:rsid w:val="002B7AB4"/>
    <w:rsid w:val="002C0956"/>
    <w:rsid w:val="002C2763"/>
    <w:rsid w:val="002C4695"/>
    <w:rsid w:val="002C6F8D"/>
    <w:rsid w:val="002D7925"/>
    <w:rsid w:val="002E4668"/>
    <w:rsid w:val="002E60B0"/>
    <w:rsid w:val="002E7EB4"/>
    <w:rsid w:val="002F0A54"/>
    <w:rsid w:val="002F0B8E"/>
    <w:rsid w:val="002F243A"/>
    <w:rsid w:val="002F569E"/>
    <w:rsid w:val="002F65FF"/>
    <w:rsid w:val="0030747B"/>
    <w:rsid w:val="00317516"/>
    <w:rsid w:val="003213E5"/>
    <w:rsid w:val="00327BCF"/>
    <w:rsid w:val="00342C97"/>
    <w:rsid w:val="0035000D"/>
    <w:rsid w:val="00362423"/>
    <w:rsid w:val="003751DD"/>
    <w:rsid w:val="00384777"/>
    <w:rsid w:val="00384D9D"/>
    <w:rsid w:val="00392DE3"/>
    <w:rsid w:val="00392E58"/>
    <w:rsid w:val="003A3790"/>
    <w:rsid w:val="003A7CC3"/>
    <w:rsid w:val="003B64BD"/>
    <w:rsid w:val="003C1F54"/>
    <w:rsid w:val="003D2C31"/>
    <w:rsid w:val="003D3372"/>
    <w:rsid w:val="003D3815"/>
    <w:rsid w:val="003F060C"/>
    <w:rsid w:val="003F18EF"/>
    <w:rsid w:val="004124B7"/>
    <w:rsid w:val="00413606"/>
    <w:rsid w:val="004203CB"/>
    <w:rsid w:val="004206FD"/>
    <w:rsid w:val="00421E30"/>
    <w:rsid w:val="0042343F"/>
    <w:rsid w:val="00423547"/>
    <w:rsid w:val="0043292E"/>
    <w:rsid w:val="0043401F"/>
    <w:rsid w:val="00440537"/>
    <w:rsid w:val="00442450"/>
    <w:rsid w:val="004478C1"/>
    <w:rsid w:val="00461D52"/>
    <w:rsid w:val="00467817"/>
    <w:rsid w:val="004705A4"/>
    <w:rsid w:val="0047703A"/>
    <w:rsid w:val="00477D34"/>
    <w:rsid w:val="004803F3"/>
    <w:rsid w:val="0049162E"/>
    <w:rsid w:val="00494D66"/>
    <w:rsid w:val="004A5EF6"/>
    <w:rsid w:val="004C07D8"/>
    <w:rsid w:val="004C45E6"/>
    <w:rsid w:val="004D02F1"/>
    <w:rsid w:val="004D0430"/>
    <w:rsid w:val="004F55EE"/>
    <w:rsid w:val="00503FF4"/>
    <w:rsid w:val="005062CF"/>
    <w:rsid w:val="00512195"/>
    <w:rsid w:val="00525E03"/>
    <w:rsid w:val="00525E42"/>
    <w:rsid w:val="00536AB2"/>
    <w:rsid w:val="00541C8D"/>
    <w:rsid w:val="00543256"/>
    <w:rsid w:val="00552EEF"/>
    <w:rsid w:val="00564C1F"/>
    <w:rsid w:val="00566001"/>
    <w:rsid w:val="005669F4"/>
    <w:rsid w:val="00570939"/>
    <w:rsid w:val="005718E7"/>
    <w:rsid w:val="0057404A"/>
    <w:rsid w:val="005922A7"/>
    <w:rsid w:val="005B5A6C"/>
    <w:rsid w:val="005B6A92"/>
    <w:rsid w:val="005C11C0"/>
    <w:rsid w:val="005C4F28"/>
    <w:rsid w:val="005D265D"/>
    <w:rsid w:val="006001EA"/>
    <w:rsid w:val="0060055F"/>
    <w:rsid w:val="00610607"/>
    <w:rsid w:val="00621DD3"/>
    <w:rsid w:val="00623100"/>
    <w:rsid w:val="00640023"/>
    <w:rsid w:val="00641F03"/>
    <w:rsid w:val="0065030B"/>
    <w:rsid w:val="00654762"/>
    <w:rsid w:val="00655F69"/>
    <w:rsid w:val="00656198"/>
    <w:rsid w:val="006620B8"/>
    <w:rsid w:val="0066439E"/>
    <w:rsid w:val="006868B7"/>
    <w:rsid w:val="006A070B"/>
    <w:rsid w:val="006B19EE"/>
    <w:rsid w:val="006D35F1"/>
    <w:rsid w:val="006D53D1"/>
    <w:rsid w:val="006D6C30"/>
    <w:rsid w:val="006D79FC"/>
    <w:rsid w:val="006E79E7"/>
    <w:rsid w:val="006F5746"/>
    <w:rsid w:val="007316B3"/>
    <w:rsid w:val="00733D06"/>
    <w:rsid w:val="0074157A"/>
    <w:rsid w:val="00744C9D"/>
    <w:rsid w:val="007512D7"/>
    <w:rsid w:val="007618DF"/>
    <w:rsid w:val="00763B8A"/>
    <w:rsid w:val="00770540"/>
    <w:rsid w:val="00774021"/>
    <w:rsid w:val="007740FD"/>
    <w:rsid w:val="00775643"/>
    <w:rsid w:val="00781ED0"/>
    <w:rsid w:val="00782F52"/>
    <w:rsid w:val="00792027"/>
    <w:rsid w:val="007A7127"/>
    <w:rsid w:val="007A71A7"/>
    <w:rsid w:val="007A7DDA"/>
    <w:rsid w:val="007B7C0D"/>
    <w:rsid w:val="007C0DCF"/>
    <w:rsid w:val="007C13B6"/>
    <w:rsid w:val="007C6DB8"/>
    <w:rsid w:val="007D1F8F"/>
    <w:rsid w:val="007E1896"/>
    <w:rsid w:val="007E39CF"/>
    <w:rsid w:val="007E6304"/>
    <w:rsid w:val="007E68CC"/>
    <w:rsid w:val="007F69F7"/>
    <w:rsid w:val="00800083"/>
    <w:rsid w:val="008032A2"/>
    <w:rsid w:val="00804088"/>
    <w:rsid w:val="00804EDF"/>
    <w:rsid w:val="008065E9"/>
    <w:rsid w:val="00806EB4"/>
    <w:rsid w:val="00807103"/>
    <w:rsid w:val="00816988"/>
    <w:rsid w:val="00821848"/>
    <w:rsid w:val="0082757F"/>
    <w:rsid w:val="00831DFF"/>
    <w:rsid w:val="00840A18"/>
    <w:rsid w:val="008435B9"/>
    <w:rsid w:val="00847D21"/>
    <w:rsid w:val="00860F4E"/>
    <w:rsid w:val="00867F20"/>
    <w:rsid w:val="00873B77"/>
    <w:rsid w:val="00882311"/>
    <w:rsid w:val="00886BF0"/>
    <w:rsid w:val="00894417"/>
    <w:rsid w:val="008966D0"/>
    <w:rsid w:val="008B01BB"/>
    <w:rsid w:val="008B0907"/>
    <w:rsid w:val="008F2014"/>
    <w:rsid w:val="008F53AE"/>
    <w:rsid w:val="008F7D93"/>
    <w:rsid w:val="00913B7A"/>
    <w:rsid w:val="00917835"/>
    <w:rsid w:val="00922DF6"/>
    <w:rsid w:val="009244AF"/>
    <w:rsid w:val="009252D6"/>
    <w:rsid w:val="009407A4"/>
    <w:rsid w:val="00946BEE"/>
    <w:rsid w:val="00956071"/>
    <w:rsid w:val="00961464"/>
    <w:rsid w:val="00972308"/>
    <w:rsid w:val="0097576D"/>
    <w:rsid w:val="009811DE"/>
    <w:rsid w:val="00982180"/>
    <w:rsid w:val="00982E80"/>
    <w:rsid w:val="009902DB"/>
    <w:rsid w:val="00991D41"/>
    <w:rsid w:val="00996EAC"/>
    <w:rsid w:val="009A1042"/>
    <w:rsid w:val="009B0799"/>
    <w:rsid w:val="009B4DEF"/>
    <w:rsid w:val="009B59D3"/>
    <w:rsid w:val="009C362A"/>
    <w:rsid w:val="009C581C"/>
    <w:rsid w:val="009D2B85"/>
    <w:rsid w:val="009D44AF"/>
    <w:rsid w:val="009D6E6D"/>
    <w:rsid w:val="009F2F68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41AAF"/>
    <w:rsid w:val="00A4757B"/>
    <w:rsid w:val="00A54701"/>
    <w:rsid w:val="00A56F16"/>
    <w:rsid w:val="00A630B9"/>
    <w:rsid w:val="00A64F5D"/>
    <w:rsid w:val="00A72DF4"/>
    <w:rsid w:val="00A85B06"/>
    <w:rsid w:val="00AA54A0"/>
    <w:rsid w:val="00AA7028"/>
    <w:rsid w:val="00AB274C"/>
    <w:rsid w:val="00AB45A7"/>
    <w:rsid w:val="00AC000B"/>
    <w:rsid w:val="00AC0DB2"/>
    <w:rsid w:val="00AC6C33"/>
    <w:rsid w:val="00AD7B7F"/>
    <w:rsid w:val="00AE63FA"/>
    <w:rsid w:val="00AE79FA"/>
    <w:rsid w:val="00AF2213"/>
    <w:rsid w:val="00AF3F45"/>
    <w:rsid w:val="00B024E8"/>
    <w:rsid w:val="00B053E7"/>
    <w:rsid w:val="00B11608"/>
    <w:rsid w:val="00B13BA3"/>
    <w:rsid w:val="00B44C60"/>
    <w:rsid w:val="00B500B0"/>
    <w:rsid w:val="00B55ED7"/>
    <w:rsid w:val="00B5684E"/>
    <w:rsid w:val="00B60EDB"/>
    <w:rsid w:val="00B84DF2"/>
    <w:rsid w:val="00B86278"/>
    <w:rsid w:val="00B90F88"/>
    <w:rsid w:val="00BB6080"/>
    <w:rsid w:val="00BC2928"/>
    <w:rsid w:val="00BC29B9"/>
    <w:rsid w:val="00BD29C7"/>
    <w:rsid w:val="00BE004F"/>
    <w:rsid w:val="00BE21F2"/>
    <w:rsid w:val="00BF59AB"/>
    <w:rsid w:val="00C0090E"/>
    <w:rsid w:val="00C01832"/>
    <w:rsid w:val="00C07FE9"/>
    <w:rsid w:val="00C12115"/>
    <w:rsid w:val="00C1261E"/>
    <w:rsid w:val="00C31347"/>
    <w:rsid w:val="00C327B4"/>
    <w:rsid w:val="00C32DC5"/>
    <w:rsid w:val="00C35D96"/>
    <w:rsid w:val="00C378EB"/>
    <w:rsid w:val="00C40261"/>
    <w:rsid w:val="00C40403"/>
    <w:rsid w:val="00C419F6"/>
    <w:rsid w:val="00C423EF"/>
    <w:rsid w:val="00C451CD"/>
    <w:rsid w:val="00C46028"/>
    <w:rsid w:val="00C50212"/>
    <w:rsid w:val="00C51CC1"/>
    <w:rsid w:val="00C5215A"/>
    <w:rsid w:val="00C627B8"/>
    <w:rsid w:val="00C66C49"/>
    <w:rsid w:val="00C70564"/>
    <w:rsid w:val="00C737D3"/>
    <w:rsid w:val="00C804CB"/>
    <w:rsid w:val="00C91692"/>
    <w:rsid w:val="00C92574"/>
    <w:rsid w:val="00C9472C"/>
    <w:rsid w:val="00CA0992"/>
    <w:rsid w:val="00CA3616"/>
    <w:rsid w:val="00CA4402"/>
    <w:rsid w:val="00CB550A"/>
    <w:rsid w:val="00CC4774"/>
    <w:rsid w:val="00CC69FF"/>
    <w:rsid w:val="00CD6D4E"/>
    <w:rsid w:val="00CE0CB6"/>
    <w:rsid w:val="00CF223C"/>
    <w:rsid w:val="00CF2E2F"/>
    <w:rsid w:val="00D0200D"/>
    <w:rsid w:val="00D03A16"/>
    <w:rsid w:val="00D11E2F"/>
    <w:rsid w:val="00D12A75"/>
    <w:rsid w:val="00D14721"/>
    <w:rsid w:val="00D14C4C"/>
    <w:rsid w:val="00D22076"/>
    <w:rsid w:val="00D23755"/>
    <w:rsid w:val="00D25B58"/>
    <w:rsid w:val="00D400A9"/>
    <w:rsid w:val="00D423FB"/>
    <w:rsid w:val="00D42D1E"/>
    <w:rsid w:val="00D45269"/>
    <w:rsid w:val="00D518F9"/>
    <w:rsid w:val="00D52B14"/>
    <w:rsid w:val="00D57B19"/>
    <w:rsid w:val="00D6392B"/>
    <w:rsid w:val="00D70EB7"/>
    <w:rsid w:val="00D74A56"/>
    <w:rsid w:val="00D77307"/>
    <w:rsid w:val="00DA13B8"/>
    <w:rsid w:val="00DA4766"/>
    <w:rsid w:val="00DB050D"/>
    <w:rsid w:val="00DB09EE"/>
    <w:rsid w:val="00DC6CDC"/>
    <w:rsid w:val="00DC7129"/>
    <w:rsid w:val="00DD50E9"/>
    <w:rsid w:val="00DE4731"/>
    <w:rsid w:val="00DE704D"/>
    <w:rsid w:val="00DE772B"/>
    <w:rsid w:val="00DF45A1"/>
    <w:rsid w:val="00E03AB9"/>
    <w:rsid w:val="00E0693A"/>
    <w:rsid w:val="00E13AD5"/>
    <w:rsid w:val="00E4144B"/>
    <w:rsid w:val="00E52AD2"/>
    <w:rsid w:val="00E60EC0"/>
    <w:rsid w:val="00E6195C"/>
    <w:rsid w:val="00E67B06"/>
    <w:rsid w:val="00E808BA"/>
    <w:rsid w:val="00E80CB4"/>
    <w:rsid w:val="00E82EA5"/>
    <w:rsid w:val="00E83A06"/>
    <w:rsid w:val="00EA2232"/>
    <w:rsid w:val="00EB01A8"/>
    <w:rsid w:val="00EB12FB"/>
    <w:rsid w:val="00EB1483"/>
    <w:rsid w:val="00EB225A"/>
    <w:rsid w:val="00EB2B3B"/>
    <w:rsid w:val="00EB5DC2"/>
    <w:rsid w:val="00EB691A"/>
    <w:rsid w:val="00EC47E4"/>
    <w:rsid w:val="00ED4277"/>
    <w:rsid w:val="00EE7378"/>
    <w:rsid w:val="00EF3A62"/>
    <w:rsid w:val="00F038B7"/>
    <w:rsid w:val="00F0444E"/>
    <w:rsid w:val="00F05FA9"/>
    <w:rsid w:val="00F06030"/>
    <w:rsid w:val="00F06381"/>
    <w:rsid w:val="00F12428"/>
    <w:rsid w:val="00F31265"/>
    <w:rsid w:val="00F371D2"/>
    <w:rsid w:val="00F54E89"/>
    <w:rsid w:val="00F56A74"/>
    <w:rsid w:val="00F572BF"/>
    <w:rsid w:val="00F82749"/>
    <w:rsid w:val="00F94417"/>
    <w:rsid w:val="00FA2EB3"/>
    <w:rsid w:val="00FA3427"/>
    <w:rsid w:val="00FB02E1"/>
    <w:rsid w:val="00FB6A0A"/>
    <w:rsid w:val="00FC4AB0"/>
    <w:rsid w:val="00FD34FD"/>
    <w:rsid w:val="00FD7D82"/>
    <w:rsid w:val="00FF02B1"/>
    <w:rsid w:val="00FF27BD"/>
    <w:rsid w:val="0DE58183"/>
    <w:rsid w:val="1F929547"/>
    <w:rsid w:val="28CDCB61"/>
    <w:rsid w:val="37426E97"/>
    <w:rsid w:val="3D15AC55"/>
    <w:rsid w:val="5004703A"/>
    <w:rsid w:val="57CF4A76"/>
    <w:rsid w:val="5A715453"/>
    <w:rsid w:val="63FA52FC"/>
    <w:rsid w:val="67BC6CA3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D81B6847-0F6D-40D0-BEA8-3A86CAF8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669F4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F7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C1F63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1"/>
    <w:pPr>
      <w:keepNext/>
      <w:keepLines/>
      <w:spacing w:before="240" w:after="0"/>
      <w:outlineLvl w:val="1"/>
    </w:pPr>
    <w:rPr>
      <w:rFonts w:ascii="Arial Black" w:eastAsiaTheme="majorEastAsia" w:hAnsi="Arial Black" w:cstheme="majorBidi"/>
      <w:color w:val="1C1F63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10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23"/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AE"/>
    <w:pPr>
      <w:numPr>
        <w:ilvl w:val="1"/>
      </w:numPr>
    </w:pPr>
    <w:rPr>
      <w:rFonts w:ascii="Arial Black" w:eastAsiaTheme="minorEastAsia" w:hAnsi="Arial Black"/>
      <w:color w:val="1C1F6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7C0D"/>
    <w:rPr>
      <w:rFonts w:ascii="Arial Black" w:eastAsiaTheme="minorEastAsia" w:hAnsi="Arial Black"/>
      <w:color w:val="1C1F63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10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3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6B8EA" w:themeColor="accent2" w:themeTint="66"/>
        <w:left w:val="single" w:sz="4" w:space="0" w:color="B6B8EA" w:themeColor="accent2" w:themeTint="66"/>
        <w:bottom w:val="single" w:sz="4" w:space="0" w:color="B6B8EA" w:themeColor="accent2" w:themeTint="66"/>
        <w:right w:val="single" w:sz="4" w:space="0" w:color="B6B8EA" w:themeColor="accent2" w:themeTint="66"/>
        <w:insideH w:val="single" w:sz="4" w:space="0" w:color="B6B8EA" w:themeColor="accent2" w:themeTint="66"/>
        <w:insideV w:val="single" w:sz="4" w:space="0" w:color="B6B8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96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6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1CC" w:themeColor="accent2"/>
        <w:left w:val="single" w:sz="4" w:space="0" w:color="4B51CC" w:themeColor="accent2"/>
        <w:bottom w:val="single" w:sz="4" w:space="0" w:color="4B51CC" w:themeColor="accent2"/>
        <w:right w:val="single" w:sz="4" w:space="0" w:color="4B51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1CC" w:themeFill="accent2"/>
      </w:tcPr>
    </w:tblStylePr>
    <w:tblStylePr w:type="lastRow">
      <w:rPr>
        <w:b/>
        <w:bCs/>
      </w:rPr>
      <w:tblPr/>
      <w:tcPr>
        <w:tcBorders>
          <w:top w:val="double" w:sz="4" w:space="0" w:color="4B51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1CC" w:themeColor="accent2"/>
          <w:right w:val="single" w:sz="4" w:space="0" w:color="4B51CC" w:themeColor="accent2"/>
        </w:tcBorders>
      </w:tcPr>
    </w:tblStylePr>
    <w:tblStylePr w:type="band1Horz">
      <w:tblPr/>
      <w:tcPr>
        <w:tcBorders>
          <w:top w:val="single" w:sz="4" w:space="0" w:color="4B51CC" w:themeColor="accent2"/>
          <w:bottom w:val="single" w:sz="4" w:space="0" w:color="4B51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1CC" w:themeColor="accent2"/>
          <w:left w:val="nil"/>
        </w:tcBorders>
      </w:tcPr>
    </w:tblStylePr>
    <w:tblStylePr w:type="swCell">
      <w:tblPr/>
      <w:tcPr>
        <w:tcBorders>
          <w:top w:val="double" w:sz="4" w:space="0" w:color="4B51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878BDD" w:themeColor="accent3"/>
        <w:left w:val="single" w:sz="4" w:space="0" w:color="878BDD" w:themeColor="accent3"/>
        <w:bottom w:val="single" w:sz="4" w:space="0" w:color="878BDD" w:themeColor="accent3"/>
        <w:right w:val="single" w:sz="4" w:space="0" w:color="878B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BDD" w:themeFill="accent3"/>
      </w:tcPr>
    </w:tblStylePr>
    <w:tblStylePr w:type="lastRow">
      <w:rPr>
        <w:b/>
        <w:bCs/>
      </w:rPr>
      <w:tblPr/>
      <w:tcPr>
        <w:tcBorders>
          <w:top w:val="double" w:sz="4" w:space="0" w:color="878B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BDD" w:themeColor="accent3"/>
          <w:right w:val="single" w:sz="4" w:space="0" w:color="878BDD" w:themeColor="accent3"/>
        </w:tcBorders>
      </w:tcPr>
    </w:tblStylePr>
    <w:tblStylePr w:type="band1Horz">
      <w:tblPr/>
      <w:tcPr>
        <w:tcBorders>
          <w:top w:val="single" w:sz="4" w:space="0" w:color="878BDD" w:themeColor="accent3"/>
          <w:bottom w:val="single" w:sz="4" w:space="0" w:color="878B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BDD" w:themeColor="accent3"/>
          <w:left w:val="nil"/>
        </w:tcBorders>
      </w:tcPr>
    </w:tblStylePr>
    <w:tblStylePr w:type="swCell">
      <w:tblPr/>
      <w:tcPr>
        <w:tcBorders>
          <w:top w:val="double" w:sz="4" w:space="0" w:color="878B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C3C5EE" w:themeColor="accent4"/>
        <w:left w:val="single" w:sz="4" w:space="0" w:color="C3C5EE" w:themeColor="accent4"/>
        <w:bottom w:val="single" w:sz="4" w:space="0" w:color="C3C5EE" w:themeColor="accent4"/>
        <w:right w:val="single" w:sz="4" w:space="0" w:color="C3C5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5EE" w:themeFill="accent4"/>
      </w:tcPr>
    </w:tblStylePr>
    <w:tblStylePr w:type="lastRow">
      <w:rPr>
        <w:b/>
        <w:bCs/>
      </w:rPr>
      <w:tblPr/>
      <w:tcPr>
        <w:tcBorders>
          <w:top w:val="double" w:sz="4" w:space="0" w:color="C3C5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5EE" w:themeColor="accent4"/>
          <w:right w:val="single" w:sz="4" w:space="0" w:color="C3C5EE" w:themeColor="accent4"/>
        </w:tcBorders>
      </w:tcPr>
    </w:tblStylePr>
    <w:tblStylePr w:type="band1Horz">
      <w:tblPr/>
      <w:tcPr>
        <w:tcBorders>
          <w:top w:val="single" w:sz="4" w:space="0" w:color="C3C5EE" w:themeColor="accent4"/>
          <w:bottom w:val="single" w:sz="4" w:space="0" w:color="C3C5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5EE" w:themeColor="accent4"/>
          <w:left w:val="nil"/>
        </w:tcBorders>
      </w:tcPr>
    </w:tblStylePr>
    <w:tblStylePr w:type="swCell">
      <w:tblPr/>
      <w:tcPr>
        <w:tcBorders>
          <w:top w:val="double" w:sz="4" w:space="0" w:color="C3C5EE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9F7"/>
    <w:rPr>
      <w:rFonts w:ascii="Arial Black" w:eastAsiaTheme="majorEastAsia" w:hAnsi="Arial Black" w:cstheme="majorBidi"/>
      <w:color w:val="1C1F63" w:themeColor="tex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9F7"/>
    <w:rPr>
      <w:rFonts w:ascii="Arial Black" w:eastAsiaTheme="majorEastAsia" w:hAnsi="Arial Black" w:cstheme="majorBidi"/>
      <w:color w:val="1C1F63" w:themeColor="text1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hub.bnssg.icb.nhs.uk/news/staff-survey-results-2024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Healthier Together blues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4B51CC"/>
      </a:accent2>
      <a:accent3>
        <a:srgbClr val="878BDD"/>
      </a:accent3>
      <a:accent4>
        <a:srgbClr val="C3C5EE"/>
      </a:accent4>
      <a:accent5>
        <a:srgbClr val="7F7F7F"/>
      </a:accent5>
      <a:accent6>
        <a:srgbClr val="BFBFBF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131a-5ef9-4c1f-b17b-99b9c4b05bfc">
      <Terms xmlns="http://schemas.microsoft.com/office/infopath/2007/PartnerControls"/>
    </lcf76f155ced4ddcb4097134ff3c332f>
    <TaxCatchAll xmlns="321487e1-d70a-4ac7-a45d-cb1aeb6d772e" xsi:nil="true"/>
    <SharedWithUsers xmlns="321487e1-d70a-4ac7-a45d-cb1aeb6d772e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27FA4040FC24A80A63F4C2205E1CD" ma:contentTypeVersion="16" ma:contentTypeDescription="Create a new document." ma:contentTypeScope="" ma:versionID="863989d41c3f6d4bf26cb3400801d13a">
  <xsd:schema xmlns:xsd="http://www.w3.org/2001/XMLSchema" xmlns:xs="http://www.w3.org/2001/XMLSchema" xmlns:p="http://schemas.microsoft.com/office/2006/metadata/properties" xmlns:ns2="9481131a-5ef9-4c1f-b17b-99b9c4b05bfc" xmlns:ns3="321487e1-d70a-4ac7-a45d-cb1aeb6d772e" targetNamespace="http://schemas.microsoft.com/office/2006/metadata/properties" ma:root="true" ma:fieldsID="5c90ab8f5065901e82a2cf77f49cff08" ns2:_="" ns3:_="">
    <xsd:import namespace="9481131a-5ef9-4c1f-b17b-99b9c4b05bfc"/>
    <xsd:import namespace="321487e1-d70a-4ac7-a45d-cb1aeb6d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131a-5ef9-4c1f-b17b-99b9c4b0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7e1-d70a-4ac7-a45d-cb1aeb6d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8cb318-8806-40fa-b3cd-d3ee06e44939}" ma:internalName="TaxCatchAll" ma:showField="CatchAllData" ma:web="321487e1-d70a-4ac7-a45d-cb1aeb6d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infopath/2007/PartnerControls"/>
    <ds:schemaRef ds:uri="9481131a-5ef9-4c1f-b17b-99b9c4b05bfc"/>
    <ds:schemaRef ds:uri="321487e1-d70a-4ac7-a45d-cb1aeb6d772e"/>
  </ds:schemaRefs>
</ds:datastoreItem>
</file>

<file path=customXml/itemProps4.xml><?xml version="1.0" encoding="utf-8"?>
<ds:datastoreItem xmlns:ds="http://schemas.openxmlformats.org/officeDocument/2006/customXml" ds:itemID="{828C2806-087E-4D4B-99AC-D397348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131a-5ef9-4c1f-b17b-99b9c4b05bfc"/>
    <ds:schemaRef ds:uri="321487e1-d70a-4ac7-a45d-cb1aeb6d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1109</Words>
  <Characters>6222</Characters>
  <Application>Microsoft Office Word</Application>
  <DocSecurity>0</DocSecurity>
  <Lines>321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January 2019</vt:lpstr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January 2019</dc:title>
  <dc:subject/>
  <dc:creator>Suvidha Bane</dc:creator>
  <cp:keywords/>
  <dc:description/>
  <cp:lastModifiedBy>EMMERSON, Naomi (NHS BRISTOL, NORTH SOMERSET AND SOUTH GLOUCESTERSHIRE ICB - 15C)</cp:lastModifiedBy>
  <cp:revision>8</cp:revision>
  <dcterms:created xsi:type="dcterms:W3CDTF">2025-11-20T12:04:00Z</dcterms:created>
  <dcterms:modified xsi:type="dcterms:W3CDTF">2025-12-18T15:01:00Z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0x01010013227FA4040FC24A80A63F4C2205E1CD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