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5EF6" w14:textId="77777777" w:rsidR="00807103" w:rsidRDefault="00807103" w:rsidP="00807103">
      <w:pPr>
        <w:pStyle w:val="Heading1"/>
        <w:jc w:val="center"/>
      </w:pPr>
      <w:r w:rsidRPr="00807103">
        <w:t xml:space="preserve">2024 – 2025 </w:t>
      </w:r>
    </w:p>
    <w:p w14:paraId="534532AD" w14:textId="49460CD7" w:rsidR="00067CEF" w:rsidRPr="00807103" w:rsidRDefault="00807103" w:rsidP="00807103">
      <w:pPr>
        <w:pStyle w:val="Heading1"/>
        <w:jc w:val="center"/>
      </w:pPr>
      <w:r w:rsidRPr="00807103">
        <w:t>W</w:t>
      </w:r>
      <w:r>
        <w:t xml:space="preserve">orkforce </w:t>
      </w:r>
      <w:r w:rsidRPr="00807103">
        <w:t>R</w:t>
      </w:r>
      <w:r>
        <w:t xml:space="preserve">ace </w:t>
      </w:r>
      <w:r w:rsidRPr="00807103">
        <w:t>E</w:t>
      </w:r>
      <w:r>
        <w:t xml:space="preserve">quality </w:t>
      </w:r>
      <w:r w:rsidRPr="00807103">
        <w:t>S</w:t>
      </w:r>
      <w:r>
        <w:t>tandards (WRES)</w:t>
      </w:r>
      <w:r w:rsidRPr="00807103">
        <w:t xml:space="preserve"> Data Review</w:t>
      </w:r>
    </w:p>
    <w:p w14:paraId="79E3F991" w14:textId="77777777" w:rsidR="00807103" w:rsidRPr="00807103" w:rsidRDefault="00807103" w:rsidP="00807103"/>
    <w:p w14:paraId="707D971D" w14:textId="787CA2EB" w:rsidR="0DE58183" w:rsidRDefault="00807103" w:rsidP="00807103">
      <w:pPr>
        <w:pStyle w:val="Heading2"/>
      </w:pPr>
      <w:r>
        <w:t>Population Data</w:t>
      </w:r>
    </w:p>
    <w:p w14:paraId="1F2F63B2" w14:textId="301FB961" w:rsidR="00807103" w:rsidRDefault="00807103" w:rsidP="00807103">
      <w:r>
        <w:t xml:space="preserve">In relation to ethnicity data the 2021 Census shows the following: </w:t>
      </w:r>
    </w:p>
    <w:tbl>
      <w:tblPr>
        <w:tblStyle w:val="TableGrid"/>
        <w:tblW w:w="0" w:type="auto"/>
        <w:tblLook w:val="04A0" w:firstRow="1" w:lastRow="0" w:firstColumn="1" w:lastColumn="0" w:noHBand="0" w:noVBand="1"/>
      </w:tblPr>
      <w:tblGrid>
        <w:gridCol w:w="3539"/>
        <w:gridCol w:w="1273"/>
        <w:gridCol w:w="1704"/>
        <w:gridCol w:w="1559"/>
        <w:gridCol w:w="1664"/>
      </w:tblGrid>
      <w:tr w:rsidR="00807103" w14:paraId="75415BF9" w14:textId="77777777" w:rsidTr="00807103">
        <w:tc>
          <w:tcPr>
            <w:tcW w:w="3539" w:type="dxa"/>
            <w:shd w:val="clear" w:color="auto" w:fill="BFBFBF" w:themeFill="accent6"/>
          </w:tcPr>
          <w:p w14:paraId="5CB63B75" w14:textId="77777777" w:rsidR="00807103" w:rsidRDefault="00807103" w:rsidP="00807103"/>
        </w:tc>
        <w:tc>
          <w:tcPr>
            <w:tcW w:w="1273" w:type="dxa"/>
            <w:shd w:val="clear" w:color="auto" w:fill="C3C5EE" w:themeFill="accent4"/>
          </w:tcPr>
          <w:p w14:paraId="5613EE44" w14:textId="708E7FDD" w:rsidR="00807103" w:rsidRPr="00807103" w:rsidRDefault="00807103" w:rsidP="00807103">
            <w:pPr>
              <w:rPr>
                <w:b/>
                <w:bCs/>
              </w:rPr>
            </w:pPr>
            <w:r w:rsidRPr="00807103">
              <w:rPr>
                <w:b/>
                <w:bCs/>
              </w:rPr>
              <w:t>Bristol (%)</w:t>
            </w:r>
          </w:p>
        </w:tc>
        <w:tc>
          <w:tcPr>
            <w:tcW w:w="1704" w:type="dxa"/>
            <w:shd w:val="clear" w:color="auto" w:fill="C3C5EE" w:themeFill="accent4"/>
          </w:tcPr>
          <w:p w14:paraId="55A87CB8" w14:textId="39691A4D" w:rsidR="00807103" w:rsidRPr="00807103" w:rsidRDefault="00807103" w:rsidP="00807103">
            <w:pPr>
              <w:rPr>
                <w:b/>
                <w:bCs/>
              </w:rPr>
            </w:pPr>
            <w:r w:rsidRPr="00807103">
              <w:rPr>
                <w:b/>
                <w:bCs/>
              </w:rPr>
              <w:t>North Somerset (%)</w:t>
            </w:r>
          </w:p>
        </w:tc>
        <w:tc>
          <w:tcPr>
            <w:tcW w:w="1559" w:type="dxa"/>
            <w:shd w:val="clear" w:color="auto" w:fill="C3C5EE" w:themeFill="accent4"/>
          </w:tcPr>
          <w:p w14:paraId="3BC58CC4" w14:textId="0EB883E2" w:rsidR="00807103" w:rsidRPr="00807103" w:rsidRDefault="00807103" w:rsidP="00807103">
            <w:pPr>
              <w:rPr>
                <w:b/>
                <w:bCs/>
              </w:rPr>
            </w:pPr>
            <w:r w:rsidRPr="00807103">
              <w:rPr>
                <w:b/>
                <w:bCs/>
              </w:rPr>
              <w:t>South Glos (%)</w:t>
            </w:r>
          </w:p>
        </w:tc>
        <w:tc>
          <w:tcPr>
            <w:tcW w:w="1664" w:type="dxa"/>
            <w:shd w:val="clear" w:color="auto" w:fill="C3C5EE" w:themeFill="accent4"/>
          </w:tcPr>
          <w:p w14:paraId="24B60097" w14:textId="54D235E4" w:rsidR="00807103" w:rsidRPr="00807103" w:rsidRDefault="00807103" w:rsidP="00807103">
            <w:pPr>
              <w:rPr>
                <w:b/>
                <w:bCs/>
              </w:rPr>
            </w:pPr>
            <w:r w:rsidRPr="00807103">
              <w:rPr>
                <w:b/>
                <w:bCs/>
              </w:rPr>
              <w:t>England (%)</w:t>
            </w:r>
          </w:p>
        </w:tc>
      </w:tr>
      <w:tr w:rsidR="00807103" w14:paraId="4A29C43F" w14:textId="77777777" w:rsidTr="00807103">
        <w:tc>
          <w:tcPr>
            <w:tcW w:w="3539" w:type="dxa"/>
            <w:shd w:val="clear" w:color="auto" w:fill="C3C5EE" w:themeFill="accent4"/>
          </w:tcPr>
          <w:p w14:paraId="6772455C" w14:textId="294E7115" w:rsidR="00807103" w:rsidRPr="00807103" w:rsidRDefault="00807103" w:rsidP="00807103">
            <w:pPr>
              <w:rPr>
                <w:b/>
                <w:bCs/>
              </w:rPr>
            </w:pPr>
            <w:r w:rsidRPr="00807103">
              <w:rPr>
                <w:b/>
                <w:bCs/>
              </w:rPr>
              <w:t>Asian, Asian British or Asian Welsh</w:t>
            </w:r>
          </w:p>
        </w:tc>
        <w:tc>
          <w:tcPr>
            <w:tcW w:w="1273" w:type="dxa"/>
          </w:tcPr>
          <w:p w14:paraId="25DBB576" w14:textId="5C1E021E" w:rsidR="00807103" w:rsidRDefault="00807103" w:rsidP="00807103">
            <w:r>
              <w:t>6.5</w:t>
            </w:r>
          </w:p>
        </w:tc>
        <w:tc>
          <w:tcPr>
            <w:tcW w:w="1704" w:type="dxa"/>
          </w:tcPr>
          <w:p w14:paraId="78CD3DF0" w14:textId="175432A6" w:rsidR="00807103" w:rsidRDefault="00807103" w:rsidP="00807103">
            <w:r>
              <w:t>1.5</w:t>
            </w:r>
          </w:p>
        </w:tc>
        <w:tc>
          <w:tcPr>
            <w:tcW w:w="1559" w:type="dxa"/>
          </w:tcPr>
          <w:p w14:paraId="74CE2ABA" w14:textId="330783A3" w:rsidR="00807103" w:rsidRDefault="00807103" w:rsidP="00807103">
            <w:r>
              <w:t>3.8</w:t>
            </w:r>
          </w:p>
        </w:tc>
        <w:tc>
          <w:tcPr>
            <w:tcW w:w="1664" w:type="dxa"/>
          </w:tcPr>
          <w:p w14:paraId="244A1C3B" w14:textId="5DB44667" w:rsidR="00807103" w:rsidRDefault="00807103" w:rsidP="00807103">
            <w:r>
              <w:t>9.6</w:t>
            </w:r>
          </w:p>
        </w:tc>
      </w:tr>
      <w:tr w:rsidR="00807103" w14:paraId="15FDD07F" w14:textId="77777777" w:rsidTr="00807103">
        <w:tc>
          <w:tcPr>
            <w:tcW w:w="3539" w:type="dxa"/>
            <w:shd w:val="clear" w:color="auto" w:fill="C3C5EE" w:themeFill="accent4"/>
          </w:tcPr>
          <w:p w14:paraId="3F5A834C" w14:textId="1B4813E2" w:rsidR="00807103" w:rsidRPr="00807103" w:rsidRDefault="00807103" w:rsidP="00807103">
            <w:pPr>
              <w:rPr>
                <w:b/>
                <w:bCs/>
              </w:rPr>
            </w:pPr>
            <w:r w:rsidRPr="00807103">
              <w:rPr>
                <w:b/>
                <w:bCs/>
              </w:rPr>
              <w:t xml:space="preserve">Black, Black British, Black Welsh, Caribbean or African </w:t>
            </w:r>
          </w:p>
        </w:tc>
        <w:tc>
          <w:tcPr>
            <w:tcW w:w="1273" w:type="dxa"/>
          </w:tcPr>
          <w:p w14:paraId="0E6BCF5B" w14:textId="0D7A9963" w:rsidR="00807103" w:rsidRDefault="00807103" w:rsidP="00807103">
            <w:r>
              <w:t>5.9</w:t>
            </w:r>
          </w:p>
        </w:tc>
        <w:tc>
          <w:tcPr>
            <w:tcW w:w="1704" w:type="dxa"/>
          </w:tcPr>
          <w:p w14:paraId="58FE9A3E" w14:textId="450AF1FF" w:rsidR="00807103" w:rsidRDefault="00807103" w:rsidP="00807103">
            <w:r>
              <w:t>0.5</w:t>
            </w:r>
          </w:p>
        </w:tc>
        <w:tc>
          <w:tcPr>
            <w:tcW w:w="1559" w:type="dxa"/>
          </w:tcPr>
          <w:p w14:paraId="3A70219A" w14:textId="56C0ED91" w:rsidR="00807103" w:rsidRDefault="00807103" w:rsidP="00807103">
            <w:r>
              <w:t>1.6</w:t>
            </w:r>
          </w:p>
        </w:tc>
        <w:tc>
          <w:tcPr>
            <w:tcW w:w="1664" w:type="dxa"/>
          </w:tcPr>
          <w:p w14:paraId="7AC5EC0E" w14:textId="49F73A00" w:rsidR="00807103" w:rsidRDefault="00807103" w:rsidP="00807103">
            <w:r>
              <w:t>4.2</w:t>
            </w:r>
          </w:p>
        </w:tc>
      </w:tr>
      <w:tr w:rsidR="00807103" w14:paraId="5D068DA9" w14:textId="77777777" w:rsidTr="00807103">
        <w:tc>
          <w:tcPr>
            <w:tcW w:w="3539" w:type="dxa"/>
            <w:shd w:val="clear" w:color="auto" w:fill="C3C5EE" w:themeFill="accent4"/>
          </w:tcPr>
          <w:p w14:paraId="453451E8" w14:textId="6515C0A2" w:rsidR="00807103" w:rsidRPr="00807103" w:rsidRDefault="00807103" w:rsidP="00807103">
            <w:pPr>
              <w:rPr>
                <w:b/>
                <w:bCs/>
              </w:rPr>
            </w:pPr>
            <w:r w:rsidRPr="00807103">
              <w:rPr>
                <w:b/>
                <w:bCs/>
              </w:rPr>
              <w:t>Mixed or Multiple ethnic groups</w:t>
            </w:r>
          </w:p>
        </w:tc>
        <w:tc>
          <w:tcPr>
            <w:tcW w:w="1273" w:type="dxa"/>
          </w:tcPr>
          <w:p w14:paraId="03370CD9" w14:textId="4C504511" w:rsidR="00807103" w:rsidRDefault="00807103" w:rsidP="00807103">
            <w:r>
              <w:t>4.5</w:t>
            </w:r>
          </w:p>
        </w:tc>
        <w:tc>
          <w:tcPr>
            <w:tcW w:w="1704" w:type="dxa"/>
          </w:tcPr>
          <w:p w14:paraId="71F492F5" w14:textId="697B5CD9" w:rsidR="00807103" w:rsidRDefault="00807103" w:rsidP="00807103">
            <w:r>
              <w:t>1.7</w:t>
            </w:r>
          </w:p>
        </w:tc>
        <w:tc>
          <w:tcPr>
            <w:tcW w:w="1559" w:type="dxa"/>
          </w:tcPr>
          <w:p w14:paraId="4EB6AEB3" w14:textId="196ED609" w:rsidR="00807103" w:rsidRDefault="00807103" w:rsidP="00807103">
            <w:r>
              <w:t>2.5</w:t>
            </w:r>
          </w:p>
        </w:tc>
        <w:tc>
          <w:tcPr>
            <w:tcW w:w="1664" w:type="dxa"/>
          </w:tcPr>
          <w:p w14:paraId="5158F6F2" w14:textId="4C15C9C5" w:rsidR="00807103" w:rsidRDefault="00807103" w:rsidP="00807103">
            <w:r>
              <w:t>3</w:t>
            </w:r>
          </w:p>
        </w:tc>
      </w:tr>
      <w:tr w:rsidR="00807103" w14:paraId="05A65303" w14:textId="77777777" w:rsidTr="00807103">
        <w:tc>
          <w:tcPr>
            <w:tcW w:w="3539" w:type="dxa"/>
            <w:shd w:val="clear" w:color="auto" w:fill="C3C5EE" w:themeFill="accent4"/>
          </w:tcPr>
          <w:p w14:paraId="5F756DE0" w14:textId="53D79729" w:rsidR="00807103" w:rsidRPr="00807103" w:rsidRDefault="00807103" w:rsidP="00807103">
            <w:pPr>
              <w:rPr>
                <w:b/>
                <w:bCs/>
              </w:rPr>
            </w:pPr>
            <w:r w:rsidRPr="00807103">
              <w:rPr>
                <w:b/>
                <w:bCs/>
              </w:rPr>
              <w:t xml:space="preserve">White </w:t>
            </w:r>
          </w:p>
        </w:tc>
        <w:tc>
          <w:tcPr>
            <w:tcW w:w="1273" w:type="dxa"/>
          </w:tcPr>
          <w:p w14:paraId="37051047" w14:textId="4BE6BDD6" w:rsidR="00807103" w:rsidRDefault="00807103" w:rsidP="00807103">
            <w:r>
              <w:t>81.1</w:t>
            </w:r>
          </w:p>
        </w:tc>
        <w:tc>
          <w:tcPr>
            <w:tcW w:w="1704" w:type="dxa"/>
          </w:tcPr>
          <w:p w14:paraId="584E4ED4" w14:textId="5E1EEDF3" w:rsidR="00807103" w:rsidRDefault="00807103" w:rsidP="00807103">
            <w:r>
              <w:t>95.7</w:t>
            </w:r>
          </w:p>
        </w:tc>
        <w:tc>
          <w:tcPr>
            <w:tcW w:w="1559" w:type="dxa"/>
          </w:tcPr>
          <w:p w14:paraId="4F330F74" w14:textId="7400462E" w:rsidR="00807103" w:rsidRDefault="00807103" w:rsidP="00807103">
            <w:r>
              <w:t>91.2</w:t>
            </w:r>
          </w:p>
        </w:tc>
        <w:tc>
          <w:tcPr>
            <w:tcW w:w="1664" w:type="dxa"/>
          </w:tcPr>
          <w:p w14:paraId="74E4B951" w14:textId="64C5482B" w:rsidR="00807103" w:rsidRDefault="00807103" w:rsidP="00807103">
            <w:r>
              <w:t>81</w:t>
            </w:r>
          </w:p>
        </w:tc>
      </w:tr>
      <w:tr w:rsidR="00807103" w14:paraId="29A53463" w14:textId="77777777" w:rsidTr="00807103">
        <w:tc>
          <w:tcPr>
            <w:tcW w:w="3539" w:type="dxa"/>
            <w:shd w:val="clear" w:color="auto" w:fill="C3C5EE" w:themeFill="accent4"/>
          </w:tcPr>
          <w:p w14:paraId="58CB53DC" w14:textId="3E0C03F8" w:rsidR="00807103" w:rsidRPr="00807103" w:rsidRDefault="00807103" w:rsidP="00807103">
            <w:pPr>
              <w:rPr>
                <w:b/>
                <w:bCs/>
              </w:rPr>
            </w:pPr>
            <w:proofErr w:type="gramStart"/>
            <w:r w:rsidRPr="00807103">
              <w:rPr>
                <w:b/>
                <w:bCs/>
              </w:rPr>
              <w:t>Other</w:t>
            </w:r>
            <w:proofErr w:type="gramEnd"/>
            <w:r w:rsidRPr="00807103">
              <w:rPr>
                <w:b/>
                <w:bCs/>
              </w:rPr>
              <w:t xml:space="preserve"> ethnic group</w:t>
            </w:r>
          </w:p>
        </w:tc>
        <w:tc>
          <w:tcPr>
            <w:tcW w:w="1273" w:type="dxa"/>
          </w:tcPr>
          <w:p w14:paraId="0B5CFA7D" w14:textId="70AF1BC9" w:rsidR="00807103" w:rsidRDefault="00807103" w:rsidP="00807103">
            <w:r>
              <w:t>1.9</w:t>
            </w:r>
          </w:p>
        </w:tc>
        <w:tc>
          <w:tcPr>
            <w:tcW w:w="1704" w:type="dxa"/>
          </w:tcPr>
          <w:p w14:paraId="09023F8A" w14:textId="7FD80D42" w:rsidR="00807103" w:rsidRDefault="00807103" w:rsidP="00807103">
            <w:r>
              <w:t>0.6</w:t>
            </w:r>
          </w:p>
        </w:tc>
        <w:tc>
          <w:tcPr>
            <w:tcW w:w="1559" w:type="dxa"/>
          </w:tcPr>
          <w:p w14:paraId="364C5877" w14:textId="24502203" w:rsidR="00807103" w:rsidRDefault="00807103" w:rsidP="00807103">
            <w:r>
              <w:t>0.9</w:t>
            </w:r>
          </w:p>
        </w:tc>
        <w:tc>
          <w:tcPr>
            <w:tcW w:w="1664" w:type="dxa"/>
          </w:tcPr>
          <w:p w14:paraId="29EAA413" w14:textId="625DB57D" w:rsidR="00807103" w:rsidRDefault="00807103" w:rsidP="00807103">
            <w:r>
              <w:t>2.2</w:t>
            </w:r>
          </w:p>
        </w:tc>
      </w:tr>
    </w:tbl>
    <w:p w14:paraId="3ECD98F9" w14:textId="77777777" w:rsidR="00807103" w:rsidRDefault="00807103" w:rsidP="00807103"/>
    <w:p w14:paraId="5940C028" w14:textId="21DB96EE" w:rsidR="00807103" w:rsidRDefault="00807103" w:rsidP="00807103">
      <w:r>
        <w:t>Within NHS WRES data sets, ethnicity is recorded as Whi</w:t>
      </w:r>
      <w:r w:rsidR="007938E2">
        <w:t>t</w:t>
      </w:r>
      <w:r>
        <w:t>e, BME or Unknown / Null. Within</w:t>
      </w:r>
      <w:r w:rsidR="006961A0">
        <w:t xml:space="preserve"> </w:t>
      </w:r>
      <w:r>
        <w:t>this report we use the term ‘BME’ to refer to people who identify as Black, Brown or as part of a racially minoritised ethnicity, community or group. We recognise that this is a contested term and not everyone will identify with it however for the purpose of analysis we have used the term so that we can draw comparisons between people from White</w:t>
      </w:r>
      <w:r w:rsidR="006961A0">
        <w:t xml:space="preserve">, </w:t>
      </w:r>
      <w:r>
        <w:t>B</w:t>
      </w:r>
      <w:r w:rsidR="002F0B8E">
        <w:t xml:space="preserve">lack and </w:t>
      </w:r>
      <w:r>
        <w:t>M</w:t>
      </w:r>
      <w:r w:rsidR="002F0B8E">
        <w:t xml:space="preserve">inority </w:t>
      </w:r>
      <w:r>
        <w:t>E</w:t>
      </w:r>
      <w:r w:rsidR="002F0B8E">
        <w:t>thnic</w:t>
      </w:r>
      <w:r>
        <w:t xml:space="preserve"> backgrounds in line with the recording of data within NHS data sets.</w:t>
      </w:r>
    </w:p>
    <w:p w14:paraId="35BB70E7" w14:textId="7C619BFE" w:rsidR="002F0B8E" w:rsidRDefault="002F0B8E" w:rsidP="00807103">
      <w:r>
        <w:t xml:space="preserve">Therefore, for comparison purposes: </w:t>
      </w:r>
    </w:p>
    <w:tbl>
      <w:tblPr>
        <w:tblStyle w:val="TableGrid"/>
        <w:tblW w:w="0" w:type="auto"/>
        <w:tblLook w:val="04A0" w:firstRow="1" w:lastRow="0" w:firstColumn="1" w:lastColumn="0" w:noHBand="0" w:noVBand="1"/>
      </w:tblPr>
      <w:tblGrid>
        <w:gridCol w:w="3322"/>
        <w:gridCol w:w="1493"/>
        <w:gridCol w:w="1701"/>
        <w:gridCol w:w="1559"/>
        <w:gridCol w:w="1664"/>
      </w:tblGrid>
      <w:tr w:rsidR="002F0B8E" w14:paraId="73205F09" w14:textId="77777777" w:rsidTr="002F0B8E">
        <w:tc>
          <w:tcPr>
            <w:tcW w:w="3322" w:type="dxa"/>
            <w:shd w:val="clear" w:color="auto" w:fill="BFBFBF" w:themeFill="accent6"/>
          </w:tcPr>
          <w:p w14:paraId="6F75A2BB" w14:textId="77777777" w:rsidR="002F0B8E" w:rsidRDefault="002F0B8E" w:rsidP="00807103"/>
        </w:tc>
        <w:tc>
          <w:tcPr>
            <w:tcW w:w="1493" w:type="dxa"/>
            <w:shd w:val="clear" w:color="auto" w:fill="C3C5EE" w:themeFill="accent4"/>
          </w:tcPr>
          <w:p w14:paraId="0EF0C889" w14:textId="0D6A3A46" w:rsidR="002F0B8E" w:rsidRPr="002F0B8E" w:rsidRDefault="002F0B8E" w:rsidP="00807103">
            <w:pPr>
              <w:rPr>
                <w:b/>
                <w:bCs/>
              </w:rPr>
            </w:pPr>
            <w:r w:rsidRPr="002F0B8E">
              <w:rPr>
                <w:b/>
                <w:bCs/>
              </w:rPr>
              <w:t>Bristol (%)</w:t>
            </w:r>
          </w:p>
        </w:tc>
        <w:tc>
          <w:tcPr>
            <w:tcW w:w="1701" w:type="dxa"/>
            <w:shd w:val="clear" w:color="auto" w:fill="C3C5EE" w:themeFill="accent4"/>
          </w:tcPr>
          <w:p w14:paraId="4649F920" w14:textId="4163EB43" w:rsidR="002F0B8E" w:rsidRPr="002F0B8E" w:rsidRDefault="002F0B8E" w:rsidP="00807103">
            <w:pPr>
              <w:rPr>
                <w:b/>
                <w:bCs/>
              </w:rPr>
            </w:pPr>
            <w:r w:rsidRPr="002F0B8E">
              <w:rPr>
                <w:b/>
                <w:bCs/>
              </w:rPr>
              <w:t>North Somerset (%)</w:t>
            </w:r>
          </w:p>
        </w:tc>
        <w:tc>
          <w:tcPr>
            <w:tcW w:w="1559" w:type="dxa"/>
            <w:shd w:val="clear" w:color="auto" w:fill="C3C5EE" w:themeFill="accent4"/>
          </w:tcPr>
          <w:p w14:paraId="1EE713CC" w14:textId="7D76F7D1" w:rsidR="002F0B8E" w:rsidRPr="002F0B8E" w:rsidRDefault="002F0B8E" w:rsidP="00807103">
            <w:pPr>
              <w:rPr>
                <w:b/>
                <w:bCs/>
              </w:rPr>
            </w:pPr>
            <w:r w:rsidRPr="002F0B8E">
              <w:rPr>
                <w:b/>
                <w:bCs/>
              </w:rPr>
              <w:t>South Glos (%)</w:t>
            </w:r>
          </w:p>
        </w:tc>
        <w:tc>
          <w:tcPr>
            <w:tcW w:w="1664" w:type="dxa"/>
            <w:shd w:val="clear" w:color="auto" w:fill="C3C5EE" w:themeFill="accent4"/>
          </w:tcPr>
          <w:p w14:paraId="21EF446A" w14:textId="2BF94556" w:rsidR="002F0B8E" w:rsidRPr="002F0B8E" w:rsidRDefault="002F0B8E" w:rsidP="00807103">
            <w:pPr>
              <w:rPr>
                <w:b/>
                <w:bCs/>
              </w:rPr>
            </w:pPr>
            <w:r w:rsidRPr="002F0B8E">
              <w:rPr>
                <w:b/>
                <w:bCs/>
              </w:rPr>
              <w:t>England (%)</w:t>
            </w:r>
          </w:p>
        </w:tc>
      </w:tr>
      <w:tr w:rsidR="002F0B8E" w14:paraId="066AC4A1" w14:textId="77777777" w:rsidTr="002F0B8E">
        <w:tc>
          <w:tcPr>
            <w:tcW w:w="3322" w:type="dxa"/>
            <w:shd w:val="clear" w:color="auto" w:fill="C3C5EE" w:themeFill="accent4"/>
          </w:tcPr>
          <w:p w14:paraId="3BEAD5E1" w14:textId="7B86563F" w:rsidR="002F0B8E" w:rsidRPr="002F0B8E" w:rsidRDefault="002F0B8E" w:rsidP="00807103">
            <w:pPr>
              <w:rPr>
                <w:b/>
                <w:bCs/>
              </w:rPr>
            </w:pPr>
            <w:r w:rsidRPr="002F0B8E">
              <w:rPr>
                <w:b/>
                <w:bCs/>
              </w:rPr>
              <w:t>BME</w:t>
            </w:r>
          </w:p>
        </w:tc>
        <w:tc>
          <w:tcPr>
            <w:tcW w:w="1493" w:type="dxa"/>
          </w:tcPr>
          <w:p w14:paraId="3B1BEB16" w14:textId="485A2FD6" w:rsidR="002F0B8E" w:rsidRDefault="002F0B8E" w:rsidP="00807103">
            <w:r>
              <w:t>18.9</w:t>
            </w:r>
          </w:p>
        </w:tc>
        <w:tc>
          <w:tcPr>
            <w:tcW w:w="1701" w:type="dxa"/>
          </w:tcPr>
          <w:p w14:paraId="3916765F" w14:textId="6E1DDB41" w:rsidR="002F0B8E" w:rsidRDefault="002F0B8E" w:rsidP="00807103">
            <w:r>
              <w:t>4.3</w:t>
            </w:r>
          </w:p>
        </w:tc>
        <w:tc>
          <w:tcPr>
            <w:tcW w:w="1559" w:type="dxa"/>
          </w:tcPr>
          <w:p w14:paraId="2DC7EA03" w14:textId="27B968DD" w:rsidR="002F0B8E" w:rsidRDefault="002F0B8E" w:rsidP="00807103">
            <w:r>
              <w:t>8.8</w:t>
            </w:r>
          </w:p>
        </w:tc>
        <w:tc>
          <w:tcPr>
            <w:tcW w:w="1664" w:type="dxa"/>
          </w:tcPr>
          <w:p w14:paraId="69694436" w14:textId="1ED8888E" w:rsidR="002F0B8E" w:rsidRDefault="002F0B8E" w:rsidP="00807103">
            <w:r>
              <w:t>19</w:t>
            </w:r>
          </w:p>
        </w:tc>
      </w:tr>
      <w:tr w:rsidR="002F0B8E" w14:paraId="263060DF" w14:textId="77777777" w:rsidTr="002F0B8E">
        <w:tc>
          <w:tcPr>
            <w:tcW w:w="3322" w:type="dxa"/>
            <w:shd w:val="clear" w:color="auto" w:fill="C3C5EE" w:themeFill="accent4"/>
          </w:tcPr>
          <w:p w14:paraId="49061560" w14:textId="7EB3B2C6" w:rsidR="002F0B8E" w:rsidRPr="002F0B8E" w:rsidRDefault="002F0B8E" w:rsidP="00807103">
            <w:pPr>
              <w:rPr>
                <w:b/>
                <w:bCs/>
              </w:rPr>
            </w:pPr>
            <w:r w:rsidRPr="002F0B8E">
              <w:rPr>
                <w:b/>
                <w:bCs/>
              </w:rPr>
              <w:t>White</w:t>
            </w:r>
          </w:p>
        </w:tc>
        <w:tc>
          <w:tcPr>
            <w:tcW w:w="1493" w:type="dxa"/>
          </w:tcPr>
          <w:p w14:paraId="096EE942" w14:textId="0DAC9F01" w:rsidR="002F0B8E" w:rsidRDefault="002F0B8E" w:rsidP="00807103">
            <w:r>
              <w:t>81.1</w:t>
            </w:r>
          </w:p>
        </w:tc>
        <w:tc>
          <w:tcPr>
            <w:tcW w:w="1701" w:type="dxa"/>
          </w:tcPr>
          <w:p w14:paraId="7EF7333C" w14:textId="63436C42" w:rsidR="002F0B8E" w:rsidRDefault="002F0B8E" w:rsidP="00807103">
            <w:r>
              <w:t>95.7</w:t>
            </w:r>
          </w:p>
        </w:tc>
        <w:tc>
          <w:tcPr>
            <w:tcW w:w="1559" w:type="dxa"/>
          </w:tcPr>
          <w:p w14:paraId="6C756FB8" w14:textId="62CAFDE2" w:rsidR="002F0B8E" w:rsidRDefault="002F0B8E" w:rsidP="00807103">
            <w:r>
              <w:t>91.2</w:t>
            </w:r>
          </w:p>
        </w:tc>
        <w:tc>
          <w:tcPr>
            <w:tcW w:w="1664" w:type="dxa"/>
          </w:tcPr>
          <w:p w14:paraId="704BC779" w14:textId="131354F0" w:rsidR="002F0B8E" w:rsidRDefault="002F0B8E" w:rsidP="00807103">
            <w:r>
              <w:t>81</w:t>
            </w:r>
          </w:p>
        </w:tc>
      </w:tr>
    </w:tbl>
    <w:p w14:paraId="6DECBF57" w14:textId="77777777" w:rsidR="002F0B8E" w:rsidRDefault="002F0B8E" w:rsidP="00807103"/>
    <w:p w14:paraId="1F947A13" w14:textId="3021697A" w:rsidR="002F0B8E" w:rsidRDefault="002F0B8E" w:rsidP="00807103">
      <w:r>
        <w:t xml:space="preserve">Additionally, </w:t>
      </w:r>
      <w:proofErr w:type="spellStart"/>
      <w:r>
        <w:t>Bristol,</w:t>
      </w:r>
      <w:proofErr w:type="spellEnd"/>
      <w:r>
        <w:t xml:space="preserve"> North Somerset and South Gloucestershire (BNSSG) population and demographics data is as follows: </w:t>
      </w:r>
    </w:p>
    <w:p w14:paraId="1B90C7AB"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Healthcare infrastructure</w:t>
      </w:r>
    </w:p>
    <w:p w14:paraId="1C489C20" w14:textId="77777777" w:rsidR="001E048E" w:rsidRPr="001E048E" w:rsidRDefault="001E048E" w:rsidP="001E048E">
      <w:pPr>
        <w:numPr>
          <w:ilvl w:val="0"/>
          <w:numId w:val="6"/>
        </w:numPr>
        <w:spacing w:before="100" w:beforeAutospacing="1" w:after="100" w:afterAutospacing="1" w:line="240" w:lineRule="auto"/>
        <w:rPr>
          <w:rFonts w:eastAsia="Times New Roman" w:cs="Arial"/>
          <w:color w:val="000000"/>
          <w:szCs w:val="24"/>
          <w:lang w:eastAsia="en-GB"/>
        </w:rPr>
      </w:pPr>
      <w:r w:rsidRPr="001E048E">
        <w:rPr>
          <w:rFonts w:eastAsia="Times New Roman" w:cs="Arial"/>
          <w:color w:val="000000"/>
          <w:szCs w:val="24"/>
          <w:lang w:eastAsia="en-GB"/>
        </w:rPr>
        <w:t>3 NHS Trusts</w:t>
      </w:r>
    </w:p>
    <w:p w14:paraId="289A4986" w14:textId="77777777" w:rsidR="001E048E" w:rsidRPr="001E048E" w:rsidRDefault="001E048E" w:rsidP="001E048E">
      <w:pPr>
        <w:numPr>
          <w:ilvl w:val="0"/>
          <w:numId w:val="6"/>
        </w:numPr>
        <w:spacing w:before="100" w:beforeAutospacing="1" w:after="100" w:afterAutospacing="1" w:line="240" w:lineRule="auto"/>
        <w:rPr>
          <w:rFonts w:eastAsia="Times New Roman" w:cs="Arial"/>
          <w:color w:val="000000"/>
          <w:szCs w:val="24"/>
          <w:lang w:eastAsia="en-GB"/>
        </w:rPr>
      </w:pPr>
      <w:r w:rsidRPr="001E048E">
        <w:rPr>
          <w:rFonts w:eastAsia="Times New Roman" w:cs="Arial"/>
          <w:color w:val="000000"/>
          <w:szCs w:val="24"/>
          <w:lang w:eastAsia="en-GB"/>
        </w:rPr>
        <w:t>76 GP Practices</w:t>
      </w:r>
    </w:p>
    <w:p w14:paraId="4203619C" w14:textId="77777777" w:rsidR="001E048E" w:rsidRPr="001E048E" w:rsidRDefault="001E048E" w:rsidP="001E048E">
      <w:pPr>
        <w:numPr>
          <w:ilvl w:val="0"/>
          <w:numId w:val="6"/>
        </w:numPr>
        <w:spacing w:before="100" w:beforeAutospacing="1" w:after="100" w:afterAutospacing="1" w:line="240" w:lineRule="auto"/>
        <w:rPr>
          <w:rFonts w:eastAsia="Times New Roman" w:cs="Arial"/>
          <w:color w:val="000000"/>
          <w:szCs w:val="24"/>
          <w:lang w:eastAsia="en-GB"/>
        </w:rPr>
      </w:pPr>
      <w:r w:rsidRPr="001E048E">
        <w:rPr>
          <w:rFonts w:eastAsia="Times New Roman" w:cs="Arial"/>
          <w:color w:val="000000"/>
          <w:szCs w:val="24"/>
          <w:lang w:eastAsia="en-GB"/>
        </w:rPr>
        <w:lastRenderedPageBreak/>
        <w:t>154 Dental Practices</w:t>
      </w:r>
    </w:p>
    <w:p w14:paraId="16C485E6" w14:textId="77777777" w:rsidR="001E048E" w:rsidRPr="001E048E" w:rsidRDefault="001E048E" w:rsidP="001E048E">
      <w:pPr>
        <w:numPr>
          <w:ilvl w:val="0"/>
          <w:numId w:val="6"/>
        </w:numPr>
        <w:spacing w:before="100" w:beforeAutospacing="1" w:after="100" w:afterAutospacing="1" w:line="240" w:lineRule="auto"/>
        <w:rPr>
          <w:rFonts w:eastAsia="Times New Roman" w:cs="Arial"/>
          <w:color w:val="000000"/>
          <w:szCs w:val="24"/>
          <w:lang w:eastAsia="en-GB"/>
        </w:rPr>
      </w:pPr>
      <w:r w:rsidRPr="001E048E">
        <w:rPr>
          <w:rFonts w:eastAsia="Times New Roman" w:cs="Arial"/>
          <w:color w:val="000000"/>
          <w:szCs w:val="24"/>
          <w:lang w:eastAsia="en-GB"/>
        </w:rPr>
        <w:t>2 Higher Education Institutions (HEIs)</w:t>
      </w:r>
    </w:p>
    <w:p w14:paraId="0C51956F"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Education</w:t>
      </w:r>
    </w:p>
    <w:p w14:paraId="30DE84BD" w14:textId="77777777" w:rsid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55% of pupils achieve 5 or more GCSEs below the England average of 58%.</w:t>
      </w:r>
    </w:p>
    <w:p w14:paraId="371B9EEF" w14:textId="77777777" w:rsidR="001E048E" w:rsidRPr="001E048E" w:rsidRDefault="001E048E" w:rsidP="001E048E">
      <w:pPr>
        <w:spacing w:after="0" w:line="240" w:lineRule="auto"/>
        <w:rPr>
          <w:rFonts w:eastAsia="Times New Roman" w:cs="Arial"/>
          <w:color w:val="000000"/>
          <w:szCs w:val="24"/>
          <w:lang w:eastAsia="en-GB"/>
        </w:rPr>
      </w:pPr>
    </w:p>
    <w:p w14:paraId="63971017"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Urban Classification</w:t>
      </w:r>
    </w:p>
    <w:p w14:paraId="35511C7F" w14:textId="77777777" w:rsid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 xml:space="preserve">92% of </w:t>
      </w:r>
      <w:proofErr w:type="spellStart"/>
      <w:r w:rsidRPr="001E048E">
        <w:rPr>
          <w:rFonts w:eastAsia="Times New Roman" w:cs="Arial"/>
          <w:color w:val="000000"/>
          <w:szCs w:val="24"/>
          <w:lang w:eastAsia="en-GB"/>
        </w:rPr>
        <w:t>Bristol,</w:t>
      </w:r>
      <w:proofErr w:type="spellEnd"/>
      <w:r w:rsidRPr="001E048E">
        <w:rPr>
          <w:rFonts w:eastAsia="Times New Roman" w:cs="Arial"/>
          <w:color w:val="000000"/>
          <w:szCs w:val="24"/>
          <w:lang w:eastAsia="en-GB"/>
        </w:rPr>
        <w:t xml:space="preserve"> North Somerset and South Gloucestershire is classified as Urban City and Town compared to 66% of </w:t>
      </w:r>
      <w:proofErr w:type="gramStart"/>
      <w:r w:rsidRPr="001E048E">
        <w:rPr>
          <w:rFonts w:eastAsia="Times New Roman" w:cs="Arial"/>
          <w:color w:val="000000"/>
          <w:szCs w:val="24"/>
          <w:lang w:eastAsia="en-GB"/>
        </w:rPr>
        <w:t>South West</w:t>
      </w:r>
      <w:proofErr w:type="gramEnd"/>
      <w:r w:rsidRPr="001E048E">
        <w:rPr>
          <w:rFonts w:eastAsia="Times New Roman" w:cs="Arial"/>
          <w:color w:val="000000"/>
          <w:szCs w:val="24"/>
          <w:lang w:eastAsia="en-GB"/>
        </w:rPr>
        <w:t>.</w:t>
      </w:r>
    </w:p>
    <w:p w14:paraId="3D59F2F8" w14:textId="77777777" w:rsidR="001E048E" w:rsidRPr="001E048E" w:rsidRDefault="001E048E" w:rsidP="001E048E">
      <w:pPr>
        <w:spacing w:after="0" w:line="240" w:lineRule="auto"/>
        <w:rPr>
          <w:rFonts w:eastAsia="Times New Roman" w:cs="Arial"/>
          <w:color w:val="000000"/>
          <w:szCs w:val="24"/>
          <w:lang w:eastAsia="en-GB"/>
        </w:rPr>
      </w:pPr>
    </w:p>
    <w:p w14:paraId="03BEFB53"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Deprivation</w:t>
      </w:r>
    </w:p>
    <w:p w14:paraId="50BC41B2" w14:textId="77777777" w:rsid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 xml:space="preserve">6.4% of </w:t>
      </w:r>
      <w:proofErr w:type="spellStart"/>
      <w:r w:rsidRPr="001E048E">
        <w:rPr>
          <w:rFonts w:eastAsia="Times New Roman" w:cs="Arial"/>
          <w:color w:val="000000"/>
          <w:szCs w:val="24"/>
          <w:lang w:eastAsia="en-GB"/>
        </w:rPr>
        <w:t>Bristol,</w:t>
      </w:r>
      <w:proofErr w:type="spellEnd"/>
      <w:r w:rsidRPr="001E048E">
        <w:rPr>
          <w:rFonts w:eastAsia="Times New Roman" w:cs="Arial"/>
          <w:color w:val="000000"/>
          <w:szCs w:val="24"/>
          <w:lang w:eastAsia="en-GB"/>
        </w:rPr>
        <w:t xml:space="preserve"> North Somerset and South Gloucestershire LSOAs are in the lowest decile for deprivation compared to SW average of 4.9%.</w:t>
      </w:r>
    </w:p>
    <w:p w14:paraId="07705A05" w14:textId="77777777" w:rsidR="001E048E" w:rsidRPr="001E048E" w:rsidRDefault="001E048E" w:rsidP="001E048E">
      <w:pPr>
        <w:spacing w:after="0" w:line="240" w:lineRule="auto"/>
        <w:rPr>
          <w:rFonts w:eastAsia="Times New Roman" w:cs="Arial"/>
          <w:color w:val="000000"/>
          <w:szCs w:val="24"/>
          <w:lang w:eastAsia="en-GB"/>
        </w:rPr>
      </w:pPr>
    </w:p>
    <w:p w14:paraId="61311963"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Population Breakdown</w:t>
      </w:r>
    </w:p>
    <w:tbl>
      <w:tblPr>
        <w:tblW w:w="0" w:type="auto"/>
        <w:tblCellMar>
          <w:left w:w="0" w:type="dxa"/>
          <w:right w:w="0" w:type="dxa"/>
        </w:tblCellMar>
        <w:tblLook w:val="04A0" w:firstRow="1" w:lastRow="0" w:firstColumn="1" w:lastColumn="0" w:noHBand="0" w:noVBand="1"/>
      </w:tblPr>
      <w:tblGrid>
        <w:gridCol w:w="3120"/>
        <w:gridCol w:w="3120"/>
        <w:gridCol w:w="3120"/>
      </w:tblGrid>
      <w:tr w:rsidR="001E048E" w:rsidRPr="001E048E" w14:paraId="08899F34" w14:textId="77777777">
        <w:tc>
          <w:tcPr>
            <w:tcW w:w="3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7CEFF"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Indicator</w:t>
            </w:r>
          </w:p>
        </w:tc>
        <w:tc>
          <w:tcPr>
            <w:tcW w:w="3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CD2EB" w14:textId="77777777" w:rsidR="001E048E" w:rsidRPr="001E048E" w:rsidRDefault="001E048E" w:rsidP="001E048E">
            <w:pPr>
              <w:spacing w:after="0" w:line="240" w:lineRule="auto"/>
              <w:rPr>
                <w:rFonts w:eastAsia="Times New Roman" w:cs="Arial"/>
                <w:color w:val="000000"/>
                <w:szCs w:val="24"/>
                <w:lang w:eastAsia="en-GB"/>
              </w:rPr>
            </w:pPr>
            <w:proofErr w:type="spellStart"/>
            <w:r w:rsidRPr="001E048E">
              <w:rPr>
                <w:rFonts w:eastAsia="Times New Roman" w:cs="Arial"/>
                <w:color w:val="000000"/>
                <w:szCs w:val="24"/>
                <w:lang w:eastAsia="en-GB"/>
              </w:rPr>
              <w:t>Bristol,</w:t>
            </w:r>
            <w:proofErr w:type="spellEnd"/>
            <w:r w:rsidRPr="001E048E">
              <w:rPr>
                <w:rFonts w:eastAsia="Times New Roman" w:cs="Arial"/>
                <w:color w:val="000000"/>
                <w:szCs w:val="24"/>
                <w:lang w:eastAsia="en-GB"/>
              </w:rPr>
              <w:t xml:space="preserve"> North Somerset and South Gloucestershire value</w:t>
            </w:r>
          </w:p>
        </w:tc>
        <w:tc>
          <w:tcPr>
            <w:tcW w:w="3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469BF" w14:textId="77777777" w:rsidR="001E048E" w:rsidRPr="001E048E" w:rsidRDefault="001E048E" w:rsidP="001E048E">
            <w:pPr>
              <w:spacing w:after="0" w:line="240" w:lineRule="auto"/>
              <w:rPr>
                <w:rFonts w:eastAsia="Times New Roman" w:cs="Arial"/>
                <w:color w:val="000000"/>
                <w:szCs w:val="24"/>
                <w:lang w:eastAsia="en-GB"/>
              </w:rPr>
            </w:pPr>
            <w:proofErr w:type="gramStart"/>
            <w:r w:rsidRPr="001E048E">
              <w:rPr>
                <w:rFonts w:eastAsia="Times New Roman" w:cs="Arial"/>
                <w:color w:val="000000"/>
                <w:szCs w:val="24"/>
                <w:lang w:eastAsia="en-GB"/>
              </w:rPr>
              <w:t>South West</w:t>
            </w:r>
            <w:proofErr w:type="gramEnd"/>
            <w:r w:rsidRPr="001E048E">
              <w:rPr>
                <w:rFonts w:eastAsia="Times New Roman" w:cs="Arial"/>
                <w:color w:val="000000"/>
                <w:szCs w:val="24"/>
                <w:lang w:eastAsia="en-GB"/>
              </w:rPr>
              <w:t xml:space="preserve"> average</w:t>
            </w:r>
          </w:p>
        </w:tc>
      </w:tr>
      <w:tr w:rsidR="001E048E" w:rsidRPr="001E048E" w14:paraId="21C2C1EC" w14:textId="77777777">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D4710"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Individuals aged over 80</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6C8BFAFD"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41,835 (4.3%)</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5128B55E"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5.5%</w:t>
            </w:r>
          </w:p>
        </w:tc>
      </w:tr>
      <w:tr w:rsidR="001E048E" w:rsidRPr="001E048E" w14:paraId="359AB9CB" w14:textId="77777777">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64E5B"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Individuals aged under 25</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6C48C7CE"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294,197 (30%)</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3F26265E"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27%</w:t>
            </w:r>
          </w:p>
        </w:tc>
      </w:tr>
      <w:tr w:rsidR="001E048E" w:rsidRPr="001E048E" w14:paraId="290B1896" w14:textId="77777777">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66BD4"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LGBT+ population (Bristol)</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3BF357A4"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4%</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01760E31"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2.2%</w:t>
            </w:r>
          </w:p>
        </w:tc>
      </w:tr>
      <w:tr w:rsidR="001E048E" w:rsidRPr="001E048E" w14:paraId="2F84F214" w14:textId="77777777">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B0178"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BAME population</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063428CF"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87,325 (9.77%)</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1A0E3E9E"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4.6%</w:t>
            </w:r>
          </w:p>
        </w:tc>
      </w:tr>
    </w:tbl>
    <w:p w14:paraId="1A47ADB7" w14:textId="77777777" w:rsidR="001E048E" w:rsidRPr="001E048E" w:rsidRDefault="001E048E" w:rsidP="001E048E">
      <w:pPr>
        <w:spacing w:after="0" w:line="240" w:lineRule="auto"/>
        <w:rPr>
          <w:rFonts w:eastAsia="Times New Roman" w:cs="Arial"/>
          <w:color w:val="000000"/>
          <w:szCs w:val="24"/>
          <w:lang w:eastAsia="en-GB"/>
        </w:rPr>
      </w:pPr>
    </w:p>
    <w:p w14:paraId="4AE00967"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Housing</w:t>
      </w:r>
    </w:p>
    <w:p w14:paraId="0FA6B134" w14:textId="57DF3772" w:rsid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 xml:space="preserve">Average house price in </w:t>
      </w:r>
      <w:proofErr w:type="spellStart"/>
      <w:r w:rsidRPr="001E048E">
        <w:rPr>
          <w:rFonts w:eastAsia="Times New Roman" w:cs="Arial"/>
          <w:color w:val="000000"/>
          <w:szCs w:val="24"/>
          <w:lang w:eastAsia="en-GB"/>
        </w:rPr>
        <w:t>Bristol,</w:t>
      </w:r>
      <w:proofErr w:type="spellEnd"/>
      <w:r w:rsidRPr="001E048E">
        <w:rPr>
          <w:rFonts w:eastAsia="Times New Roman" w:cs="Arial"/>
          <w:color w:val="000000"/>
          <w:szCs w:val="24"/>
          <w:lang w:eastAsia="en-GB"/>
        </w:rPr>
        <w:t xml:space="preserve"> North Somerset and South Gloucestershire: £343,000 (SW: £332,000)</w:t>
      </w:r>
      <w:r>
        <w:rPr>
          <w:rFonts w:eastAsia="Times New Roman" w:cs="Arial"/>
          <w:color w:val="000000"/>
          <w:szCs w:val="24"/>
          <w:lang w:eastAsia="en-GB"/>
        </w:rPr>
        <w:t xml:space="preserve">. </w:t>
      </w:r>
      <w:r w:rsidRPr="001E048E">
        <w:rPr>
          <w:rFonts w:eastAsia="Times New Roman" w:cs="Arial"/>
          <w:color w:val="000000"/>
          <w:szCs w:val="24"/>
          <w:lang w:eastAsia="en-GB"/>
        </w:rPr>
        <w:t xml:space="preserve">78% of homes in </w:t>
      </w:r>
      <w:proofErr w:type="spellStart"/>
      <w:r w:rsidRPr="001E048E">
        <w:rPr>
          <w:rFonts w:eastAsia="Times New Roman" w:cs="Arial"/>
          <w:color w:val="000000"/>
          <w:szCs w:val="24"/>
          <w:lang w:eastAsia="en-GB"/>
        </w:rPr>
        <w:t>Bristol,</w:t>
      </w:r>
      <w:proofErr w:type="spellEnd"/>
      <w:r w:rsidRPr="001E048E">
        <w:rPr>
          <w:rFonts w:eastAsia="Times New Roman" w:cs="Arial"/>
          <w:color w:val="000000"/>
          <w:szCs w:val="24"/>
          <w:lang w:eastAsia="en-GB"/>
        </w:rPr>
        <w:t xml:space="preserve"> North Somerset and South Gloucestershire are owned compared to 79% in the </w:t>
      </w:r>
      <w:proofErr w:type="gramStart"/>
      <w:r w:rsidRPr="001E048E">
        <w:rPr>
          <w:rFonts w:eastAsia="Times New Roman" w:cs="Arial"/>
          <w:color w:val="000000"/>
          <w:szCs w:val="24"/>
          <w:lang w:eastAsia="en-GB"/>
        </w:rPr>
        <w:t>South West</w:t>
      </w:r>
      <w:proofErr w:type="gramEnd"/>
      <w:r w:rsidRPr="001E048E">
        <w:rPr>
          <w:rFonts w:eastAsia="Times New Roman" w:cs="Arial"/>
          <w:color w:val="000000"/>
          <w:szCs w:val="24"/>
          <w:lang w:eastAsia="en-GB"/>
        </w:rPr>
        <w:t>.</w:t>
      </w:r>
    </w:p>
    <w:p w14:paraId="394AB16A" w14:textId="77777777" w:rsidR="001E048E" w:rsidRPr="001E048E" w:rsidRDefault="001E048E" w:rsidP="001E048E">
      <w:pPr>
        <w:spacing w:after="0" w:line="240" w:lineRule="auto"/>
        <w:rPr>
          <w:rFonts w:eastAsia="Times New Roman" w:cs="Arial"/>
          <w:color w:val="000000"/>
          <w:szCs w:val="24"/>
          <w:lang w:eastAsia="en-GB"/>
        </w:rPr>
      </w:pPr>
    </w:p>
    <w:p w14:paraId="08E8D4F6"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Health</w:t>
      </w:r>
    </w:p>
    <w:p w14:paraId="673E9644"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Hypertension prevalence: 15%</w:t>
      </w:r>
    </w:p>
    <w:p w14:paraId="671791AE"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Depression prevalence: 13%</w:t>
      </w:r>
    </w:p>
    <w:p w14:paraId="0E3CBE65" w14:textId="77777777" w:rsid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7.8% of population (70,000) classify as having activity ‘Limited a lot’ compared to 8.3% SW.</w:t>
      </w:r>
    </w:p>
    <w:p w14:paraId="685146AA" w14:textId="77777777" w:rsidR="001E048E" w:rsidRPr="001E048E" w:rsidRDefault="001E048E" w:rsidP="001E048E">
      <w:pPr>
        <w:spacing w:after="0" w:line="240" w:lineRule="auto"/>
        <w:rPr>
          <w:rFonts w:eastAsia="Times New Roman" w:cs="Arial"/>
          <w:color w:val="000000"/>
          <w:szCs w:val="24"/>
          <w:lang w:eastAsia="en-GB"/>
        </w:rPr>
      </w:pPr>
    </w:p>
    <w:p w14:paraId="4B60D7AC"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Employment</w:t>
      </w:r>
    </w:p>
    <w:p w14:paraId="5D3EB70D"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2.4% of population have been unemployed more than 12 months (SW: 2.8%).</w:t>
      </w:r>
    </w:p>
    <w:p w14:paraId="4A015832" w14:textId="77777777" w:rsid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Largest industry: Wholesale and retail trade; repair of motor vehicles and motorcycles (14%).</w:t>
      </w:r>
    </w:p>
    <w:p w14:paraId="4F0A57BD" w14:textId="77777777" w:rsidR="001E048E" w:rsidRPr="001E048E" w:rsidRDefault="001E048E" w:rsidP="001E048E">
      <w:pPr>
        <w:spacing w:after="0" w:line="240" w:lineRule="auto"/>
        <w:rPr>
          <w:rFonts w:eastAsia="Times New Roman" w:cs="Arial"/>
          <w:color w:val="000000"/>
          <w:szCs w:val="24"/>
          <w:lang w:eastAsia="en-GB"/>
        </w:rPr>
      </w:pPr>
    </w:p>
    <w:p w14:paraId="30A15446"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b/>
          <w:bCs/>
          <w:color w:val="000000"/>
          <w:szCs w:val="24"/>
          <w:lang w:eastAsia="en-GB"/>
        </w:rPr>
        <w:t>Economy</w:t>
      </w:r>
    </w:p>
    <w:p w14:paraId="382AE0AA" w14:textId="77777777" w:rsidR="001E048E" w:rsidRPr="001E048E" w:rsidRDefault="001E048E" w:rsidP="001E048E">
      <w:pPr>
        <w:spacing w:after="0" w:line="240" w:lineRule="auto"/>
        <w:rPr>
          <w:rFonts w:eastAsia="Times New Roman" w:cs="Arial"/>
          <w:color w:val="000000"/>
          <w:szCs w:val="24"/>
          <w:lang w:eastAsia="en-GB"/>
        </w:rPr>
      </w:pPr>
      <w:r w:rsidRPr="001E048E">
        <w:rPr>
          <w:rFonts w:eastAsia="Times New Roman" w:cs="Arial"/>
          <w:color w:val="000000"/>
          <w:szCs w:val="24"/>
          <w:lang w:eastAsia="en-GB"/>
        </w:rPr>
        <w:t>Average gross pay in 2022: £646.6 per week (SW: £619.8)</w:t>
      </w:r>
    </w:p>
    <w:p w14:paraId="5E90D430" w14:textId="6351155F" w:rsidR="002F0B8E" w:rsidRDefault="002F0B8E" w:rsidP="00807103"/>
    <w:p w14:paraId="68581D29" w14:textId="651D32BC" w:rsidR="0001174A" w:rsidRDefault="00B5684E" w:rsidP="00B5684E">
      <w:pPr>
        <w:pStyle w:val="Heading2"/>
      </w:pPr>
      <w:r>
        <w:t>WRES Data</w:t>
      </w:r>
    </w:p>
    <w:p w14:paraId="523D2329" w14:textId="77777777" w:rsidR="00B5684E" w:rsidRDefault="00B5684E" w:rsidP="00B5684E"/>
    <w:p w14:paraId="12F1521D" w14:textId="68D67515" w:rsidR="00B5684E" w:rsidRDefault="00B5684E" w:rsidP="00B5684E">
      <w:r>
        <w:t xml:space="preserve">The full BNSSG ICB WRES report is available in Appendix </w:t>
      </w:r>
      <w:r w:rsidR="00BB798E">
        <w:t>1</w:t>
      </w:r>
      <w:r>
        <w:t xml:space="preserve">. </w:t>
      </w:r>
    </w:p>
    <w:p w14:paraId="053A1C26" w14:textId="710895EF" w:rsidR="00B5684E" w:rsidRDefault="00B5684E" w:rsidP="00B5684E">
      <w:r>
        <w:t xml:space="preserve">Year on year analysis of staff in post shows that 2024-25 we had our highest recorded percentage of staff with a BME ethnicity. </w:t>
      </w:r>
    </w:p>
    <w:tbl>
      <w:tblPr>
        <w:tblStyle w:val="TableGrid"/>
        <w:tblW w:w="0" w:type="auto"/>
        <w:tblLook w:val="04A0" w:firstRow="1" w:lastRow="0" w:firstColumn="1" w:lastColumn="0" w:noHBand="0" w:noVBand="1"/>
      </w:tblPr>
      <w:tblGrid>
        <w:gridCol w:w="2296"/>
        <w:gridCol w:w="803"/>
        <w:gridCol w:w="830"/>
        <w:gridCol w:w="1217"/>
        <w:gridCol w:w="791"/>
        <w:gridCol w:w="1146"/>
        <w:gridCol w:w="1276"/>
        <w:gridCol w:w="1380"/>
      </w:tblGrid>
      <w:tr w:rsidR="00B5684E" w14:paraId="190D59D9" w14:textId="77777777" w:rsidTr="00B84DF2">
        <w:tc>
          <w:tcPr>
            <w:tcW w:w="2296" w:type="dxa"/>
          </w:tcPr>
          <w:p w14:paraId="1B222D0A" w14:textId="77777777" w:rsidR="00B5684E" w:rsidRDefault="00B5684E" w:rsidP="00B5684E">
            <w:bookmarkStart w:id="0" w:name="_Hlk200461071"/>
          </w:p>
        </w:tc>
        <w:tc>
          <w:tcPr>
            <w:tcW w:w="2850" w:type="dxa"/>
            <w:gridSpan w:val="3"/>
            <w:shd w:val="clear" w:color="auto" w:fill="BFBFBF" w:themeFill="accent6"/>
          </w:tcPr>
          <w:p w14:paraId="0926A464" w14:textId="2CE07563" w:rsidR="00B5684E" w:rsidRDefault="00B5684E" w:rsidP="00B5684E">
            <w:r>
              <w:t>Headcount</w:t>
            </w:r>
          </w:p>
        </w:tc>
        <w:tc>
          <w:tcPr>
            <w:tcW w:w="791" w:type="dxa"/>
            <w:shd w:val="clear" w:color="auto" w:fill="BFBFBF" w:themeFill="accent6"/>
          </w:tcPr>
          <w:p w14:paraId="2A7D35F2" w14:textId="77777777" w:rsidR="00B5684E" w:rsidRDefault="00B5684E" w:rsidP="00B5684E"/>
        </w:tc>
        <w:tc>
          <w:tcPr>
            <w:tcW w:w="3802" w:type="dxa"/>
            <w:gridSpan w:val="3"/>
            <w:shd w:val="clear" w:color="auto" w:fill="BFBFBF" w:themeFill="accent6"/>
          </w:tcPr>
          <w:p w14:paraId="208B3F6F" w14:textId="592401FB" w:rsidR="00B5684E" w:rsidRDefault="00B5684E" w:rsidP="00B5684E">
            <w:r>
              <w:t>Percentage</w:t>
            </w:r>
          </w:p>
        </w:tc>
      </w:tr>
      <w:tr w:rsidR="00B84DF2" w14:paraId="24CF5888" w14:textId="77777777" w:rsidTr="00B84DF2">
        <w:tc>
          <w:tcPr>
            <w:tcW w:w="2296" w:type="dxa"/>
            <w:shd w:val="clear" w:color="auto" w:fill="C3C5EE" w:themeFill="accent4"/>
          </w:tcPr>
          <w:p w14:paraId="303C891D" w14:textId="77D7350F" w:rsidR="00DC7129" w:rsidRDefault="00DC7129" w:rsidP="00B5684E">
            <w:r>
              <w:t>Year</w:t>
            </w:r>
          </w:p>
        </w:tc>
        <w:tc>
          <w:tcPr>
            <w:tcW w:w="803" w:type="dxa"/>
            <w:shd w:val="clear" w:color="auto" w:fill="C3C5EE" w:themeFill="accent4"/>
          </w:tcPr>
          <w:p w14:paraId="1970C26B" w14:textId="181AF452" w:rsidR="00DC7129" w:rsidRDefault="00DC7129" w:rsidP="00B5684E">
            <w:r>
              <w:t>BME</w:t>
            </w:r>
          </w:p>
        </w:tc>
        <w:tc>
          <w:tcPr>
            <w:tcW w:w="830" w:type="dxa"/>
            <w:shd w:val="clear" w:color="auto" w:fill="C3C5EE" w:themeFill="accent4"/>
          </w:tcPr>
          <w:p w14:paraId="15DF4D0E" w14:textId="65B37903" w:rsidR="00DC7129" w:rsidRDefault="00DC7129" w:rsidP="00B5684E">
            <w:r>
              <w:t>White</w:t>
            </w:r>
          </w:p>
        </w:tc>
        <w:tc>
          <w:tcPr>
            <w:tcW w:w="1217" w:type="dxa"/>
            <w:shd w:val="clear" w:color="auto" w:fill="C3C5EE" w:themeFill="accent4"/>
          </w:tcPr>
          <w:p w14:paraId="1D64E89E" w14:textId="02646037" w:rsidR="00DC7129" w:rsidRDefault="00DC7129" w:rsidP="00B5684E">
            <w:r>
              <w:t>Unknown</w:t>
            </w:r>
          </w:p>
        </w:tc>
        <w:tc>
          <w:tcPr>
            <w:tcW w:w="791" w:type="dxa"/>
            <w:shd w:val="clear" w:color="auto" w:fill="C3C5EE" w:themeFill="accent4"/>
          </w:tcPr>
          <w:p w14:paraId="433CA906" w14:textId="35C5DD49" w:rsidR="00DC7129" w:rsidRDefault="00DC7129" w:rsidP="00B5684E">
            <w:r>
              <w:t>Total</w:t>
            </w:r>
          </w:p>
        </w:tc>
        <w:tc>
          <w:tcPr>
            <w:tcW w:w="1146" w:type="dxa"/>
            <w:shd w:val="clear" w:color="auto" w:fill="C3C5EE" w:themeFill="accent4"/>
          </w:tcPr>
          <w:p w14:paraId="673DA8DA" w14:textId="273E34BE" w:rsidR="00DC7129" w:rsidRDefault="00DC7129" w:rsidP="00B5684E">
            <w:r>
              <w:t>BME</w:t>
            </w:r>
          </w:p>
        </w:tc>
        <w:tc>
          <w:tcPr>
            <w:tcW w:w="1276" w:type="dxa"/>
            <w:shd w:val="clear" w:color="auto" w:fill="C3C5EE" w:themeFill="accent4"/>
          </w:tcPr>
          <w:p w14:paraId="438394E7" w14:textId="7FEE6BD6" w:rsidR="00DC7129" w:rsidRDefault="00DC7129" w:rsidP="00B5684E">
            <w:r>
              <w:t>White</w:t>
            </w:r>
          </w:p>
        </w:tc>
        <w:tc>
          <w:tcPr>
            <w:tcW w:w="1380" w:type="dxa"/>
            <w:shd w:val="clear" w:color="auto" w:fill="C3C5EE" w:themeFill="accent4"/>
          </w:tcPr>
          <w:p w14:paraId="092D2ACB" w14:textId="1CE05410" w:rsidR="00DC7129" w:rsidRDefault="00DC7129" w:rsidP="00B5684E">
            <w:r>
              <w:t>Unknown</w:t>
            </w:r>
          </w:p>
        </w:tc>
      </w:tr>
      <w:tr w:rsidR="00DC7129" w14:paraId="7C2681A0" w14:textId="77777777" w:rsidTr="00B84DF2">
        <w:tc>
          <w:tcPr>
            <w:tcW w:w="2296" w:type="dxa"/>
            <w:shd w:val="clear" w:color="auto" w:fill="C3C5EE" w:themeFill="accent4"/>
          </w:tcPr>
          <w:p w14:paraId="41842862" w14:textId="1A7194E3" w:rsidR="00DC7129" w:rsidRDefault="00DC7129" w:rsidP="00B5684E">
            <w:r>
              <w:t>2018/19</w:t>
            </w:r>
          </w:p>
        </w:tc>
        <w:tc>
          <w:tcPr>
            <w:tcW w:w="803" w:type="dxa"/>
            <w:shd w:val="clear" w:color="auto" w:fill="EAF2C0"/>
          </w:tcPr>
          <w:p w14:paraId="73B7F364" w14:textId="7F632856" w:rsidR="00DC7129" w:rsidRDefault="00DC7129" w:rsidP="00B5684E">
            <w:r>
              <w:t>34</w:t>
            </w:r>
          </w:p>
        </w:tc>
        <w:tc>
          <w:tcPr>
            <w:tcW w:w="830" w:type="dxa"/>
          </w:tcPr>
          <w:p w14:paraId="7301457A" w14:textId="525447CB" w:rsidR="00DC7129" w:rsidRDefault="00DC7129" w:rsidP="00B5684E">
            <w:r>
              <w:t>302</w:t>
            </w:r>
          </w:p>
        </w:tc>
        <w:tc>
          <w:tcPr>
            <w:tcW w:w="1217" w:type="dxa"/>
          </w:tcPr>
          <w:p w14:paraId="060DFC51" w14:textId="64EC6DAE" w:rsidR="00DC7129" w:rsidRDefault="00DC7129" w:rsidP="00B5684E">
            <w:r>
              <w:t>71</w:t>
            </w:r>
          </w:p>
        </w:tc>
        <w:tc>
          <w:tcPr>
            <w:tcW w:w="791" w:type="dxa"/>
          </w:tcPr>
          <w:p w14:paraId="61955231" w14:textId="78A35653" w:rsidR="00DC7129" w:rsidRDefault="00DC7129" w:rsidP="00B5684E">
            <w:r>
              <w:t>407</w:t>
            </w:r>
          </w:p>
        </w:tc>
        <w:tc>
          <w:tcPr>
            <w:tcW w:w="1146" w:type="dxa"/>
            <w:shd w:val="clear" w:color="auto" w:fill="EAF2C0"/>
          </w:tcPr>
          <w:p w14:paraId="236232FA" w14:textId="2C50CA63" w:rsidR="00DC7129" w:rsidRDefault="00DC7129" w:rsidP="00B5684E">
            <w:r>
              <w:t>8.40%</w:t>
            </w:r>
          </w:p>
        </w:tc>
        <w:tc>
          <w:tcPr>
            <w:tcW w:w="1276" w:type="dxa"/>
          </w:tcPr>
          <w:p w14:paraId="094A5892" w14:textId="51FAD4CE" w:rsidR="00DC7129" w:rsidRDefault="00DC7129" w:rsidP="00B5684E">
            <w:r>
              <w:t>74.20%</w:t>
            </w:r>
          </w:p>
        </w:tc>
        <w:tc>
          <w:tcPr>
            <w:tcW w:w="1380" w:type="dxa"/>
          </w:tcPr>
          <w:p w14:paraId="387F066E" w14:textId="5E2B2DED" w:rsidR="00DC7129" w:rsidRDefault="00DC7129" w:rsidP="00B5684E">
            <w:r>
              <w:t>17.40%</w:t>
            </w:r>
          </w:p>
        </w:tc>
      </w:tr>
      <w:tr w:rsidR="00DC7129" w14:paraId="7621AB98" w14:textId="77777777" w:rsidTr="00B84DF2">
        <w:tc>
          <w:tcPr>
            <w:tcW w:w="2296" w:type="dxa"/>
            <w:shd w:val="clear" w:color="auto" w:fill="C3C5EE" w:themeFill="accent4"/>
          </w:tcPr>
          <w:p w14:paraId="6C47C4E4" w14:textId="3ED06633" w:rsidR="00DC7129" w:rsidRDefault="00DC7129" w:rsidP="00B5684E">
            <w:r>
              <w:t>2019/20</w:t>
            </w:r>
          </w:p>
        </w:tc>
        <w:tc>
          <w:tcPr>
            <w:tcW w:w="803" w:type="dxa"/>
            <w:shd w:val="clear" w:color="auto" w:fill="EAF2C0"/>
          </w:tcPr>
          <w:p w14:paraId="11DD8D5F" w14:textId="5A9A1D2E" w:rsidR="00DC7129" w:rsidRDefault="00DC7129" w:rsidP="00B5684E">
            <w:r>
              <w:t>47</w:t>
            </w:r>
          </w:p>
        </w:tc>
        <w:tc>
          <w:tcPr>
            <w:tcW w:w="830" w:type="dxa"/>
          </w:tcPr>
          <w:p w14:paraId="7B85436F" w14:textId="6474A21D" w:rsidR="00DC7129" w:rsidRDefault="00DC7129" w:rsidP="00B5684E">
            <w:r>
              <w:t>388</w:t>
            </w:r>
          </w:p>
        </w:tc>
        <w:tc>
          <w:tcPr>
            <w:tcW w:w="1217" w:type="dxa"/>
          </w:tcPr>
          <w:p w14:paraId="18596314" w14:textId="5FEB0AD2" w:rsidR="00DC7129" w:rsidRDefault="00DC7129" w:rsidP="00B5684E">
            <w:r>
              <w:t>60</w:t>
            </w:r>
          </w:p>
        </w:tc>
        <w:tc>
          <w:tcPr>
            <w:tcW w:w="791" w:type="dxa"/>
          </w:tcPr>
          <w:p w14:paraId="383AC0AC" w14:textId="6FF717CA" w:rsidR="00DC7129" w:rsidRDefault="00DC7129" w:rsidP="00B5684E">
            <w:r>
              <w:t>495</w:t>
            </w:r>
          </w:p>
        </w:tc>
        <w:tc>
          <w:tcPr>
            <w:tcW w:w="1146" w:type="dxa"/>
            <w:shd w:val="clear" w:color="auto" w:fill="EAF2C0"/>
          </w:tcPr>
          <w:p w14:paraId="0AF54A48" w14:textId="7C4FC85A" w:rsidR="00DC7129" w:rsidRDefault="00DC7129" w:rsidP="00B5684E">
            <w:r>
              <w:t>9.50%</w:t>
            </w:r>
          </w:p>
        </w:tc>
        <w:tc>
          <w:tcPr>
            <w:tcW w:w="1276" w:type="dxa"/>
          </w:tcPr>
          <w:p w14:paraId="7F2F68C5" w14:textId="5A722D14" w:rsidR="00DC7129" w:rsidRDefault="00DC7129" w:rsidP="00B5684E">
            <w:r>
              <w:t>78.40%</w:t>
            </w:r>
          </w:p>
        </w:tc>
        <w:tc>
          <w:tcPr>
            <w:tcW w:w="1380" w:type="dxa"/>
          </w:tcPr>
          <w:p w14:paraId="40FE481F" w14:textId="53C110D7" w:rsidR="00DC7129" w:rsidRDefault="00DC7129" w:rsidP="00B5684E">
            <w:r>
              <w:t>12.10%</w:t>
            </w:r>
          </w:p>
        </w:tc>
      </w:tr>
      <w:tr w:rsidR="00DC7129" w14:paraId="1D7CCE9C" w14:textId="77777777" w:rsidTr="00B84DF2">
        <w:tc>
          <w:tcPr>
            <w:tcW w:w="2296" w:type="dxa"/>
            <w:shd w:val="clear" w:color="auto" w:fill="C3C5EE" w:themeFill="accent4"/>
          </w:tcPr>
          <w:p w14:paraId="04C0DA5D" w14:textId="4BEEA700" w:rsidR="00DC7129" w:rsidRDefault="00DC7129" w:rsidP="00B5684E">
            <w:r>
              <w:t>2020/21</w:t>
            </w:r>
          </w:p>
        </w:tc>
        <w:tc>
          <w:tcPr>
            <w:tcW w:w="803" w:type="dxa"/>
            <w:shd w:val="clear" w:color="auto" w:fill="EAF2C0"/>
          </w:tcPr>
          <w:p w14:paraId="3A16C97C" w14:textId="6E980A9F" w:rsidR="00DC7129" w:rsidRDefault="00DC7129" w:rsidP="00B5684E">
            <w:r>
              <w:t>43</w:t>
            </w:r>
          </w:p>
        </w:tc>
        <w:tc>
          <w:tcPr>
            <w:tcW w:w="830" w:type="dxa"/>
          </w:tcPr>
          <w:p w14:paraId="173C752A" w14:textId="706B668C" w:rsidR="00DC7129" w:rsidRDefault="00DC7129" w:rsidP="00B5684E">
            <w:r>
              <w:t>382</w:t>
            </w:r>
          </w:p>
        </w:tc>
        <w:tc>
          <w:tcPr>
            <w:tcW w:w="1217" w:type="dxa"/>
          </w:tcPr>
          <w:p w14:paraId="7585C3E0" w14:textId="5AF0DFE6" w:rsidR="00DC7129" w:rsidRDefault="00DC7129" w:rsidP="00B5684E">
            <w:r>
              <w:t>38</w:t>
            </w:r>
          </w:p>
        </w:tc>
        <w:tc>
          <w:tcPr>
            <w:tcW w:w="791" w:type="dxa"/>
          </w:tcPr>
          <w:p w14:paraId="27B85B04" w14:textId="0F3FC541" w:rsidR="00DC7129" w:rsidRDefault="00DC7129" w:rsidP="00B5684E">
            <w:r>
              <w:t>463</w:t>
            </w:r>
          </w:p>
        </w:tc>
        <w:tc>
          <w:tcPr>
            <w:tcW w:w="1146" w:type="dxa"/>
            <w:shd w:val="clear" w:color="auto" w:fill="EAF2C0"/>
          </w:tcPr>
          <w:p w14:paraId="6D6C44C4" w14:textId="5673B66D" w:rsidR="00DC7129" w:rsidRDefault="00DC7129" w:rsidP="00B5684E">
            <w:r>
              <w:t>9.30%</w:t>
            </w:r>
          </w:p>
        </w:tc>
        <w:tc>
          <w:tcPr>
            <w:tcW w:w="1276" w:type="dxa"/>
          </w:tcPr>
          <w:p w14:paraId="6D9705EA" w14:textId="7D200242" w:rsidR="00DC7129" w:rsidRDefault="00DC7129" w:rsidP="00B5684E">
            <w:r>
              <w:t>82.50%</w:t>
            </w:r>
          </w:p>
        </w:tc>
        <w:tc>
          <w:tcPr>
            <w:tcW w:w="1380" w:type="dxa"/>
          </w:tcPr>
          <w:p w14:paraId="66887EFE" w14:textId="6163083C" w:rsidR="00DC7129" w:rsidRDefault="00DC7129" w:rsidP="00B5684E">
            <w:r>
              <w:t>8.20%</w:t>
            </w:r>
          </w:p>
        </w:tc>
      </w:tr>
      <w:tr w:rsidR="00DC7129" w14:paraId="666AAAC6" w14:textId="77777777" w:rsidTr="00B84DF2">
        <w:tc>
          <w:tcPr>
            <w:tcW w:w="2296" w:type="dxa"/>
            <w:shd w:val="clear" w:color="auto" w:fill="C3C5EE" w:themeFill="accent4"/>
          </w:tcPr>
          <w:p w14:paraId="580F0592" w14:textId="747987C9" w:rsidR="00DC7129" w:rsidRDefault="00DC7129" w:rsidP="00B5684E">
            <w:r>
              <w:t>2021/22</w:t>
            </w:r>
          </w:p>
        </w:tc>
        <w:tc>
          <w:tcPr>
            <w:tcW w:w="803" w:type="dxa"/>
            <w:shd w:val="clear" w:color="auto" w:fill="EAF2C0"/>
          </w:tcPr>
          <w:p w14:paraId="3A684965" w14:textId="798C77B7" w:rsidR="00DC7129" w:rsidRDefault="00DC7129" w:rsidP="00B5684E">
            <w:r>
              <w:t>46</w:t>
            </w:r>
          </w:p>
        </w:tc>
        <w:tc>
          <w:tcPr>
            <w:tcW w:w="830" w:type="dxa"/>
          </w:tcPr>
          <w:p w14:paraId="4DD46881" w14:textId="2A4AC0BE" w:rsidR="00DC7129" w:rsidRDefault="00DC7129" w:rsidP="00B5684E">
            <w:r>
              <w:t>449</w:t>
            </w:r>
          </w:p>
        </w:tc>
        <w:tc>
          <w:tcPr>
            <w:tcW w:w="1217" w:type="dxa"/>
          </w:tcPr>
          <w:p w14:paraId="53559624" w14:textId="2133946A" w:rsidR="00DC7129" w:rsidRDefault="00DC7129" w:rsidP="00B5684E">
            <w:r>
              <w:t>39</w:t>
            </w:r>
          </w:p>
        </w:tc>
        <w:tc>
          <w:tcPr>
            <w:tcW w:w="791" w:type="dxa"/>
          </w:tcPr>
          <w:p w14:paraId="156DD6B2" w14:textId="29D25E02" w:rsidR="00DC7129" w:rsidRDefault="00DC7129" w:rsidP="00B5684E">
            <w:r>
              <w:t>534</w:t>
            </w:r>
          </w:p>
        </w:tc>
        <w:tc>
          <w:tcPr>
            <w:tcW w:w="1146" w:type="dxa"/>
            <w:shd w:val="clear" w:color="auto" w:fill="EAF2C0"/>
          </w:tcPr>
          <w:p w14:paraId="68DBBBF6" w14:textId="0559D7F4" w:rsidR="00DC7129" w:rsidRDefault="00DC7129" w:rsidP="00B5684E">
            <w:r>
              <w:t>8.60%</w:t>
            </w:r>
          </w:p>
        </w:tc>
        <w:tc>
          <w:tcPr>
            <w:tcW w:w="1276" w:type="dxa"/>
          </w:tcPr>
          <w:p w14:paraId="50C6C646" w14:textId="0F3610D2" w:rsidR="00DC7129" w:rsidRDefault="00DC7129" w:rsidP="00B5684E">
            <w:r>
              <w:t>84.10%</w:t>
            </w:r>
          </w:p>
        </w:tc>
        <w:tc>
          <w:tcPr>
            <w:tcW w:w="1380" w:type="dxa"/>
          </w:tcPr>
          <w:p w14:paraId="31D2288E" w14:textId="1A510EBD" w:rsidR="00DC7129" w:rsidRDefault="00DC7129" w:rsidP="00B5684E">
            <w:r>
              <w:t>7.30%</w:t>
            </w:r>
          </w:p>
        </w:tc>
      </w:tr>
      <w:tr w:rsidR="00DC7129" w14:paraId="4DEDE322" w14:textId="77777777" w:rsidTr="00B84DF2">
        <w:tc>
          <w:tcPr>
            <w:tcW w:w="2296" w:type="dxa"/>
            <w:shd w:val="clear" w:color="auto" w:fill="C3C5EE" w:themeFill="accent4"/>
          </w:tcPr>
          <w:p w14:paraId="51659ED7" w14:textId="5EFF1E22" w:rsidR="00DC7129" w:rsidRDefault="00DC7129" w:rsidP="00B5684E">
            <w:r>
              <w:t>2022/23</w:t>
            </w:r>
          </w:p>
        </w:tc>
        <w:tc>
          <w:tcPr>
            <w:tcW w:w="803" w:type="dxa"/>
            <w:shd w:val="clear" w:color="auto" w:fill="EAF2C0"/>
          </w:tcPr>
          <w:p w14:paraId="0531C28C" w14:textId="382EB709" w:rsidR="00DC7129" w:rsidRDefault="00DC7129" w:rsidP="00B5684E">
            <w:r>
              <w:t>47</w:t>
            </w:r>
          </w:p>
        </w:tc>
        <w:tc>
          <w:tcPr>
            <w:tcW w:w="830" w:type="dxa"/>
          </w:tcPr>
          <w:p w14:paraId="61013466" w14:textId="1254708A" w:rsidR="00DC7129" w:rsidRDefault="00DC7129" w:rsidP="00B5684E">
            <w:r>
              <w:t>448</w:t>
            </w:r>
          </w:p>
        </w:tc>
        <w:tc>
          <w:tcPr>
            <w:tcW w:w="1217" w:type="dxa"/>
          </w:tcPr>
          <w:p w14:paraId="428B8AE7" w14:textId="061A0D51" w:rsidR="00DC7129" w:rsidRDefault="00DC7129" w:rsidP="00B5684E">
            <w:r>
              <w:t>45</w:t>
            </w:r>
          </w:p>
        </w:tc>
        <w:tc>
          <w:tcPr>
            <w:tcW w:w="791" w:type="dxa"/>
          </w:tcPr>
          <w:p w14:paraId="7E5CA6DE" w14:textId="34635D0D" w:rsidR="00DC7129" w:rsidRDefault="00DC7129" w:rsidP="00B5684E">
            <w:r>
              <w:t>540</w:t>
            </w:r>
          </w:p>
        </w:tc>
        <w:tc>
          <w:tcPr>
            <w:tcW w:w="1146" w:type="dxa"/>
            <w:shd w:val="clear" w:color="auto" w:fill="EAF2C0"/>
          </w:tcPr>
          <w:p w14:paraId="685F423D" w14:textId="5FEB1BA4" w:rsidR="00DC7129" w:rsidRDefault="00DC7129" w:rsidP="00B5684E">
            <w:r>
              <w:t>8.70%</w:t>
            </w:r>
          </w:p>
        </w:tc>
        <w:tc>
          <w:tcPr>
            <w:tcW w:w="1276" w:type="dxa"/>
          </w:tcPr>
          <w:p w14:paraId="297D13E0" w14:textId="61BD2742" w:rsidR="00DC7129" w:rsidRDefault="00DC7129" w:rsidP="00B5684E">
            <w:r>
              <w:t>82.96%</w:t>
            </w:r>
          </w:p>
        </w:tc>
        <w:tc>
          <w:tcPr>
            <w:tcW w:w="1380" w:type="dxa"/>
          </w:tcPr>
          <w:p w14:paraId="437A8284" w14:textId="4E328937" w:rsidR="00DC7129" w:rsidRDefault="00B84DF2" w:rsidP="00B5684E">
            <w:r>
              <w:t>8.33%</w:t>
            </w:r>
          </w:p>
        </w:tc>
      </w:tr>
      <w:tr w:rsidR="00DC7129" w14:paraId="06E61912" w14:textId="77777777" w:rsidTr="00B84DF2">
        <w:tc>
          <w:tcPr>
            <w:tcW w:w="2296" w:type="dxa"/>
            <w:shd w:val="clear" w:color="auto" w:fill="C3C5EE" w:themeFill="accent4"/>
          </w:tcPr>
          <w:p w14:paraId="1DA34E95" w14:textId="47B3979B" w:rsidR="00DC7129" w:rsidRDefault="00DC7129" w:rsidP="00B5684E">
            <w:r>
              <w:t>2023/24</w:t>
            </w:r>
          </w:p>
        </w:tc>
        <w:tc>
          <w:tcPr>
            <w:tcW w:w="803" w:type="dxa"/>
            <w:shd w:val="clear" w:color="auto" w:fill="EAF2C0"/>
          </w:tcPr>
          <w:p w14:paraId="153BFC11" w14:textId="2BCB2E68" w:rsidR="00DC7129" w:rsidRDefault="00DC7129" w:rsidP="00B5684E">
            <w:r>
              <w:t>47</w:t>
            </w:r>
          </w:p>
        </w:tc>
        <w:tc>
          <w:tcPr>
            <w:tcW w:w="830" w:type="dxa"/>
          </w:tcPr>
          <w:p w14:paraId="3941C236" w14:textId="28F92719" w:rsidR="00DC7129" w:rsidRDefault="00DC7129" w:rsidP="00B5684E">
            <w:r>
              <w:t>403</w:t>
            </w:r>
          </w:p>
        </w:tc>
        <w:tc>
          <w:tcPr>
            <w:tcW w:w="1217" w:type="dxa"/>
          </w:tcPr>
          <w:p w14:paraId="1D0A640D" w14:textId="5DD24DE5" w:rsidR="00DC7129" w:rsidRDefault="00DC7129" w:rsidP="00B5684E">
            <w:r>
              <w:t>32</w:t>
            </w:r>
          </w:p>
        </w:tc>
        <w:tc>
          <w:tcPr>
            <w:tcW w:w="791" w:type="dxa"/>
          </w:tcPr>
          <w:p w14:paraId="32AD09DC" w14:textId="0955889D" w:rsidR="00DC7129" w:rsidRDefault="00DC7129" w:rsidP="00B5684E">
            <w:r>
              <w:t>482</w:t>
            </w:r>
          </w:p>
        </w:tc>
        <w:tc>
          <w:tcPr>
            <w:tcW w:w="1146" w:type="dxa"/>
            <w:shd w:val="clear" w:color="auto" w:fill="EAF2C0"/>
          </w:tcPr>
          <w:p w14:paraId="56FC1D45" w14:textId="20D8C000" w:rsidR="00DC7129" w:rsidRDefault="00DC7129" w:rsidP="00B5684E">
            <w:r>
              <w:t>9.75%</w:t>
            </w:r>
          </w:p>
        </w:tc>
        <w:tc>
          <w:tcPr>
            <w:tcW w:w="1276" w:type="dxa"/>
          </w:tcPr>
          <w:p w14:paraId="20FBD5C8" w14:textId="16FC7384" w:rsidR="00DC7129" w:rsidRDefault="00DC7129" w:rsidP="00B5684E">
            <w:r>
              <w:t>83.61%</w:t>
            </w:r>
          </w:p>
        </w:tc>
        <w:tc>
          <w:tcPr>
            <w:tcW w:w="1380" w:type="dxa"/>
          </w:tcPr>
          <w:p w14:paraId="33600D2C" w14:textId="763B289B" w:rsidR="00DC7129" w:rsidRDefault="00B84DF2" w:rsidP="00B5684E">
            <w:r>
              <w:t>6.64%</w:t>
            </w:r>
          </w:p>
        </w:tc>
      </w:tr>
      <w:tr w:rsidR="00DC7129" w14:paraId="5D91BB8C" w14:textId="77777777" w:rsidTr="00B84DF2">
        <w:tc>
          <w:tcPr>
            <w:tcW w:w="2296" w:type="dxa"/>
            <w:shd w:val="clear" w:color="auto" w:fill="C3C5EE" w:themeFill="accent4"/>
          </w:tcPr>
          <w:p w14:paraId="6FA29DAA" w14:textId="74FD2CB6" w:rsidR="00DC7129" w:rsidRDefault="00DC7129" w:rsidP="00B5684E">
            <w:r>
              <w:t>2024/25</w:t>
            </w:r>
          </w:p>
        </w:tc>
        <w:tc>
          <w:tcPr>
            <w:tcW w:w="803" w:type="dxa"/>
            <w:shd w:val="clear" w:color="auto" w:fill="EAF2C0"/>
          </w:tcPr>
          <w:p w14:paraId="6AB6A925" w14:textId="49631D2D" w:rsidR="00DC7129" w:rsidRDefault="005D32A2" w:rsidP="00B5684E">
            <w:r>
              <w:t>55</w:t>
            </w:r>
          </w:p>
        </w:tc>
        <w:tc>
          <w:tcPr>
            <w:tcW w:w="830" w:type="dxa"/>
          </w:tcPr>
          <w:p w14:paraId="7C83F031" w14:textId="54D283C3" w:rsidR="00DC7129" w:rsidRDefault="005D32A2" w:rsidP="00B5684E">
            <w:r>
              <w:t>393</w:t>
            </w:r>
          </w:p>
        </w:tc>
        <w:tc>
          <w:tcPr>
            <w:tcW w:w="1217" w:type="dxa"/>
          </w:tcPr>
          <w:p w14:paraId="4C8781FC" w14:textId="337E74E8" w:rsidR="00DC7129" w:rsidRDefault="005D32A2" w:rsidP="00B5684E">
            <w:r>
              <w:t>23</w:t>
            </w:r>
          </w:p>
        </w:tc>
        <w:tc>
          <w:tcPr>
            <w:tcW w:w="791" w:type="dxa"/>
          </w:tcPr>
          <w:p w14:paraId="05928AE0" w14:textId="7D2B6A5F" w:rsidR="00DC7129" w:rsidRDefault="005D32A2" w:rsidP="00B5684E">
            <w:r>
              <w:t>471</w:t>
            </w:r>
          </w:p>
        </w:tc>
        <w:tc>
          <w:tcPr>
            <w:tcW w:w="1146" w:type="dxa"/>
            <w:shd w:val="clear" w:color="auto" w:fill="EAF2C0"/>
          </w:tcPr>
          <w:p w14:paraId="7DB83B60" w14:textId="3C086012" w:rsidR="00DC7129" w:rsidRDefault="00DC7129" w:rsidP="00B5684E">
            <w:r>
              <w:t>1</w:t>
            </w:r>
            <w:r w:rsidR="005D32A2">
              <w:t>1</w:t>
            </w:r>
            <w:r w:rsidR="00B84DF2">
              <w:t>.</w:t>
            </w:r>
            <w:r w:rsidR="005D32A2">
              <w:t>68</w:t>
            </w:r>
            <w:r>
              <w:t>%</w:t>
            </w:r>
          </w:p>
        </w:tc>
        <w:tc>
          <w:tcPr>
            <w:tcW w:w="1276" w:type="dxa"/>
          </w:tcPr>
          <w:p w14:paraId="1FCAD7C6" w14:textId="0AAA3A95" w:rsidR="00DC7129" w:rsidRDefault="00DC7129" w:rsidP="00B5684E">
            <w:r>
              <w:t>8</w:t>
            </w:r>
            <w:r w:rsidR="005D32A2">
              <w:t>3</w:t>
            </w:r>
            <w:r>
              <w:t>.</w:t>
            </w:r>
            <w:r w:rsidR="005D32A2">
              <w:t>44</w:t>
            </w:r>
            <w:r>
              <w:t>%</w:t>
            </w:r>
          </w:p>
        </w:tc>
        <w:tc>
          <w:tcPr>
            <w:tcW w:w="1380" w:type="dxa"/>
          </w:tcPr>
          <w:p w14:paraId="61E65D2F" w14:textId="0325948A" w:rsidR="00DC7129" w:rsidRDefault="005D32A2" w:rsidP="00B5684E">
            <w:r>
              <w:t>4</w:t>
            </w:r>
            <w:r w:rsidR="00DC7129">
              <w:t>.</w:t>
            </w:r>
            <w:r>
              <w:t>88</w:t>
            </w:r>
            <w:r w:rsidR="00DC7129">
              <w:t>%</w:t>
            </w:r>
          </w:p>
        </w:tc>
      </w:tr>
      <w:bookmarkEnd w:id="0"/>
    </w:tbl>
    <w:p w14:paraId="77691815" w14:textId="77777777" w:rsidR="00B5684E" w:rsidRDefault="00B5684E" w:rsidP="00B5684E"/>
    <w:p w14:paraId="48216774" w14:textId="21F893FB" w:rsidR="00B84DF2" w:rsidRDefault="00B84DF2" w:rsidP="00B5684E">
      <w:r>
        <w:t xml:space="preserve">While this is a positive trend it must be noted that for both clinical and non-clinical staff the percentage of BME staff members remain within the lowest band clusters. This has been a theme year on year. </w:t>
      </w:r>
    </w:p>
    <w:tbl>
      <w:tblPr>
        <w:tblStyle w:val="TableGrid"/>
        <w:tblW w:w="0" w:type="auto"/>
        <w:tblLook w:val="04A0" w:firstRow="1" w:lastRow="0" w:firstColumn="1" w:lastColumn="0" w:noHBand="0" w:noVBand="1"/>
      </w:tblPr>
      <w:tblGrid>
        <w:gridCol w:w="2830"/>
        <w:gridCol w:w="897"/>
        <w:gridCol w:w="897"/>
        <w:gridCol w:w="1217"/>
        <w:gridCol w:w="1146"/>
        <w:gridCol w:w="1276"/>
        <w:gridCol w:w="1380"/>
      </w:tblGrid>
      <w:tr w:rsidR="00B84DF2" w14:paraId="33E9F043" w14:textId="77777777" w:rsidTr="00E808BA">
        <w:tc>
          <w:tcPr>
            <w:tcW w:w="2830" w:type="dxa"/>
            <w:vMerge w:val="restart"/>
          </w:tcPr>
          <w:p w14:paraId="23E2ECC5" w14:textId="64A702A2" w:rsidR="00B84DF2" w:rsidRDefault="00B84DF2" w:rsidP="009D7911">
            <w:r>
              <w:t xml:space="preserve">Banding </w:t>
            </w:r>
          </w:p>
        </w:tc>
        <w:tc>
          <w:tcPr>
            <w:tcW w:w="2477" w:type="dxa"/>
            <w:gridSpan w:val="3"/>
            <w:shd w:val="clear" w:color="auto" w:fill="BFBFBF" w:themeFill="accent6"/>
          </w:tcPr>
          <w:p w14:paraId="53A1F651" w14:textId="6828251A" w:rsidR="00B84DF2" w:rsidRDefault="00B84DF2" w:rsidP="009D7911">
            <w:r>
              <w:t>Non-Clinical</w:t>
            </w:r>
          </w:p>
        </w:tc>
        <w:tc>
          <w:tcPr>
            <w:tcW w:w="3802" w:type="dxa"/>
            <w:gridSpan w:val="3"/>
            <w:shd w:val="clear" w:color="auto" w:fill="BFBFBF" w:themeFill="accent6"/>
          </w:tcPr>
          <w:p w14:paraId="6EC919A6" w14:textId="1F7A5AD7" w:rsidR="00B84DF2" w:rsidRDefault="00B84DF2" w:rsidP="009D7911">
            <w:r>
              <w:t xml:space="preserve">Clinical </w:t>
            </w:r>
          </w:p>
        </w:tc>
      </w:tr>
      <w:tr w:rsidR="00B84DF2" w14:paraId="5EC5B1DF" w14:textId="77777777" w:rsidTr="00E808BA">
        <w:tc>
          <w:tcPr>
            <w:tcW w:w="2830" w:type="dxa"/>
            <w:vMerge/>
            <w:shd w:val="clear" w:color="auto" w:fill="C3C5EE" w:themeFill="accent4"/>
          </w:tcPr>
          <w:p w14:paraId="30B31707" w14:textId="761CF104" w:rsidR="00B84DF2" w:rsidRDefault="00B84DF2" w:rsidP="009D7911"/>
        </w:tc>
        <w:tc>
          <w:tcPr>
            <w:tcW w:w="363" w:type="dxa"/>
            <w:shd w:val="clear" w:color="auto" w:fill="C3C5EE" w:themeFill="accent4"/>
          </w:tcPr>
          <w:p w14:paraId="61873577" w14:textId="77777777" w:rsidR="00B84DF2" w:rsidRDefault="00B84DF2" w:rsidP="009D7911">
            <w:r>
              <w:t>BME</w:t>
            </w:r>
          </w:p>
        </w:tc>
        <w:tc>
          <w:tcPr>
            <w:tcW w:w="897" w:type="dxa"/>
            <w:shd w:val="clear" w:color="auto" w:fill="C3C5EE" w:themeFill="accent4"/>
          </w:tcPr>
          <w:p w14:paraId="1B1B12D7" w14:textId="77777777" w:rsidR="00B84DF2" w:rsidRDefault="00B84DF2" w:rsidP="009D7911">
            <w:r>
              <w:t>White</w:t>
            </w:r>
          </w:p>
        </w:tc>
        <w:tc>
          <w:tcPr>
            <w:tcW w:w="1217" w:type="dxa"/>
            <w:shd w:val="clear" w:color="auto" w:fill="C3C5EE" w:themeFill="accent4"/>
          </w:tcPr>
          <w:p w14:paraId="78AE7833" w14:textId="77777777" w:rsidR="00B84DF2" w:rsidRDefault="00B84DF2" w:rsidP="009D7911">
            <w:r>
              <w:t>Unknown</w:t>
            </w:r>
          </w:p>
        </w:tc>
        <w:tc>
          <w:tcPr>
            <w:tcW w:w="1146" w:type="dxa"/>
            <w:shd w:val="clear" w:color="auto" w:fill="C3C5EE" w:themeFill="accent4"/>
          </w:tcPr>
          <w:p w14:paraId="1A695A1D" w14:textId="77777777" w:rsidR="00B84DF2" w:rsidRDefault="00B84DF2" w:rsidP="009D7911">
            <w:r>
              <w:t>BME</w:t>
            </w:r>
          </w:p>
        </w:tc>
        <w:tc>
          <w:tcPr>
            <w:tcW w:w="1276" w:type="dxa"/>
            <w:shd w:val="clear" w:color="auto" w:fill="C3C5EE" w:themeFill="accent4"/>
          </w:tcPr>
          <w:p w14:paraId="56B2C67A" w14:textId="77777777" w:rsidR="00B84DF2" w:rsidRDefault="00B84DF2" w:rsidP="009D7911">
            <w:r>
              <w:t>White</w:t>
            </w:r>
          </w:p>
        </w:tc>
        <w:tc>
          <w:tcPr>
            <w:tcW w:w="1380" w:type="dxa"/>
            <w:shd w:val="clear" w:color="auto" w:fill="C3C5EE" w:themeFill="accent4"/>
          </w:tcPr>
          <w:p w14:paraId="23751C26" w14:textId="77777777" w:rsidR="00B84DF2" w:rsidRDefault="00B84DF2" w:rsidP="009D7911">
            <w:r>
              <w:t>Unknown</w:t>
            </w:r>
          </w:p>
        </w:tc>
      </w:tr>
      <w:tr w:rsidR="00B84DF2" w14:paraId="6D705781" w14:textId="77777777" w:rsidTr="00E808BA">
        <w:tc>
          <w:tcPr>
            <w:tcW w:w="2830" w:type="dxa"/>
            <w:shd w:val="clear" w:color="auto" w:fill="C3C5EE" w:themeFill="accent4"/>
          </w:tcPr>
          <w:p w14:paraId="6145B092" w14:textId="7864BF6A" w:rsidR="00B84DF2" w:rsidRDefault="00B84DF2" w:rsidP="009D7911">
            <w:r>
              <w:t>&lt;1 to 4</w:t>
            </w:r>
          </w:p>
        </w:tc>
        <w:tc>
          <w:tcPr>
            <w:tcW w:w="363" w:type="dxa"/>
            <w:shd w:val="clear" w:color="auto" w:fill="EAF2C0"/>
          </w:tcPr>
          <w:p w14:paraId="4993B4D8" w14:textId="5433BAB5" w:rsidR="00B84DF2" w:rsidRDefault="00B84DF2" w:rsidP="009D7911">
            <w:r>
              <w:t>18.3%</w:t>
            </w:r>
          </w:p>
        </w:tc>
        <w:tc>
          <w:tcPr>
            <w:tcW w:w="897" w:type="dxa"/>
          </w:tcPr>
          <w:p w14:paraId="428D9A36" w14:textId="2995675D" w:rsidR="00B84DF2" w:rsidRDefault="00B84DF2" w:rsidP="009D7911">
            <w:r>
              <w:t>80.3%</w:t>
            </w:r>
          </w:p>
        </w:tc>
        <w:tc>
          <w:tcPr>
            <w:tcW w:w="1217" w:type="dxa"/>
          </w:tcPr>
          <w:p w14:paraId="4D61D7FE" w14:textId="7394BE39" w:rsidR="00B84DF2" w:rsidRDefault="00B84DF2" w:rsidP="009D7911">
            <w:r>
              <w:t>1.4%</w:t>
            </w:r>
          </w:p>
        </w:tc>
        <w:tc>
          <w:tcPr>
            <w:tcW w:w="1146" w:type="dxa"/>
            <w:shd w:val="clear" w:color="auto" w:fill="EAF2C0"/>
          </w:tcPr>
          <w:p w14:paraId="71D33B77" w14:textId="049806A7" w:rsidR="00B84DF2" w:rsidRDefault="00B84DF2" w:rsidP="009D7911">
            <w:r>
              <w:t>0.0%</w:t>
            </w:r>
          </w:p>
        </w:tc>
        <w:tc>
          <w:tcPr>
            <w:tcW w:w="1276" w:type="dxa"/>
          </w:tcPr>
          <w:p w14:paraId="4F9D25DD" w14:textId="76605F35" w:rsidR="00B84DF2" w:rsidRDefault="00B84DF2" w:rsidP="009D7911">
            <w:r>
              <w:t>0.0%</w:t>
            </w:r>
          </w:p>
        </w:tc>
        <w:tc>
          <w:tcPr>
            <w:tcW w:w="1380" w:type="dxa"/>
          </w:tcPr>
          <w:p w14:paraId="5AC25CD6" w14:textId="3543AD68" w:rsidR="00B84DF2" w:rsidRDefault="00E808BA" w:rsidP="009D7911">
            <w:r>
              <w:t>0.0%</w:t>
            </w:r>
          </w:p>
        </w:tc>
      </w:tr>
      <w:tr w:rsidR="00B84DF2" w14:paraId="195470E1" w14:textId="77777777" w:rsidTr="00E808BA">
        <w:tc>
          <w:tcPr>
            <w:tcW w:w="2830" w:type="dxa"/>
            <w:shd w:val="clear" w:color="auto" w:fill="C3C5EE" w:themeFill="accent4"/>
          </w:tcPr>
          <w:p w14:paraId="09D9E0EF" w14:textId="2A24E986" w:rsidR="00B84DF2" w:rsidRDefault="00B84DF2" w:rsidP="009D7911">
            <w:r>
              <w:t>5 to 7</w:t>
            </w:r>
          </w:p>
        </w:tc>
        <w:tc>
          <w:tcPr>
            <w:tcW w:w="363" w:type="dxa"/>
            <w:shd w:val="clear" w:color="auto" w:fill="EAF2C0"/>
          </w:tcPr>
          <w:p w14:paraId="0696E80D" w14:textId="14E1A241" w:rsidR="00B84DF2" w:rsidRDefault="00B84DF2" w:rsidP="009D7911">
            <w:r>
              <w:t>6.6%</w:t>
            </w:r>
          </w:p>
        </w:tc>
        <w:tc>
          <w:tcPr>
            <w:tcW w:w="897" w:type="dxa"/>
          </w:tcPr>
          <w:p w14:paraId="6650E92D" w14:textId="4DD38BA9" w:rsidR="00B84DF2" w:rsidRDefault="00B84DF2" w:rsidP="009D7911">
            <w:r>
              <w:t>88.2%</w:t>
            </w:r>
          </w:p>
        </w:tc>
        <w:tc>
          <w:tcPr>
            <w:tcW w:w="1217" w:type="dxa"/>
          </w:tcPr>
          <w:p w14:paraId="490E54DD" w14:textId="3AAF25B1" w:rsidR="00B84DF2" w:rsidRDefault="00B84DF2" w:rsidP="009D7911">
            <w:r>
              <w:t>5.3%</w:t>
            </w:r>
          </w:p>
        </w:tc>
        <w:tc>
          <w:tcPr>
            <w:tcW w:w="1146" w:type="dxa"/>
            <w:shd w:val="clear" w:color="auto" w:fill="EAF2C0"/>
          </w:tcPr>
          <w:p w14:paraId="6AE9BD02" w14:textId="50CBD7D1" w:rsidR="00B84DF2" w:rsidRDefault="00B84DF2" w:rsidP="009D7911">
            <w:r>
              <w:t>18.8%</w:t>
            </w:r>
          </w:p>
        </w:tc>
        <w:tc>
          <w:tcPr>
            <w:tcW w:w="1276" w:type="dxa"/>
          </w:tcPr>
          <w:p w14:paraId="2404ED9D" w14:textId="290288DA" w:rsidR="00B84DF2" w:rsidRDefault="00E808BA" w:rsidP="009D7911">
            <w:r>
              <w:t>76.5%</w:t>
            </w:r>
          </w:p>
        </w:tc>
        <w:tc>
          <w:tcPr>
            <w:tcW w:w="1380" w:type="dxa"/>
          </w:tcPr>
          <w:p w14:paraId="6C1C6B7C" w14:textId="466C14B1" w:rsidR="00B84DF2" w:rsidRDefault="00E808BA" w:rsidP="009D7911">
            <w:r>
              <w:t>4.7%</w:t>
            </w:r>
          </w:p>
        </w:tc>
      </w:tr>
      <w:tr w:rsidR="00B84DF2" w14:paraId="5FC4C5E8" w14:textId="77777777" w:rsidTr="00E808BA">
        <w:tc>
          <w:tcPr>
            <w:tcW w:w="2830" w:type="dxa"/>
            <w:shd w:val="clear" w:color="auto" w:fill="C3C5EE" w:themeFill="accent4"/>
          </w:tcPr>
          <w:p w14:paraId="577B32E4" w14:textId="154A743B" w:rsidR="00B84DF2" w:rsidRDefault="00B84DF2" w:rsidP="009D7911">
            <w:r>
              <w:t>8a &amp; 8b</w:t>
            </w:r>
          </w:p>
        </w:tc>
        <w:tc>
          <w:tcPr>
            <w:tcW w:w="363" w:type="dxa"/>
            <w:shd w:val="clear" w:color="auto" w:fill="EAF2C0"/>
          </w:tcPr>
          <w:p w14:paraId="2C5C35C9" w14:textId="7B2D64D0" w:rsidR="00B84DF2" w:rsidRDefault="00B84DF2" w:rsidP="009D7911">
            <w:r>
              <w:t>10.4%</w:t>
            </w:r>
          </w:p>
        </w:tc>
        <w:tc>
          <w:tcPr>
            <w:tcW w:w="897" w:type="dxa"/>
          </w:tcPr>
          <w:p w14:paraId="68883B81" w14:textId="0D13D758" w:rsidR="00B84DF2" w:rsidRDefault="00B84DF2" w:rsidP="009D7911">
            <w:r>
              <w:t>85.1%</w:t>
            </w:r>
          </w:p>
        </w:tc>
        <w:tc>
          <w:tcPr>
            <w:tcW w:w="1217" w:type="dxa"/>
          </w:tcPr>
          <w:p w14:paraId="4D5FBBC0" w14:textId="7F1FC028" w:rsidR="00B84DF2" w:rsidRDefault="00B84DF2" w:rsidP="009D7911">
            <w:r>
              <w:t>4.5%</w:t>
            </w:r>
          </w:p>
        </w:tc>
        <w:tc>
          <w:tcPr>
            <w:tcW w:w="1146" w:type="dxa"/>
            <w:shd w:val="clear" w:color="auto" w:fill="EAF2C0"/>
          </w:tcPr>
          <w:p w14:paraId="16ED215C" w14:textId="54538A6C" w:rsidR="00B84DF2" w:rsidRDefault="00B84DF2" w:rsidP="009D7911">
            <w:r>
              <w:t>9.1%</w:t>
            </w:r>
          </w:p>
        </w:tc>
        <w:tc>
          <w:tcPr>
            <w:tcW w:w="1276" w:type="dxa"/>
          </w:tcPr>
          <w:p w14:paraId="22259194" w14:textId="1DAA103F" w:rsidR="00B84DF2" w:rsidRDefault="00E808BA" w:rsidP="009D7911">
            <w:r>
              <w:t>87.9%</w:t>
            </w:r>
          </w:p>
        </w:tc>
        <w:tc>
          <w:tcPr>
            <w:tcW w:w="1380" w:type="dxa"/>
          </w:tcPr>
          <w:p w14:paraId="164E955D" w14:textId="2BFA0391" w:rsidR="00B84DF2" w:rsidRDefault="00E808BA" w:rsidP="009D7911">
            <w:r>
              <w:t>3.0%</w:t>
            </w:r>
          </w:p>
        </w:tc>
      </w:tr>
      <w:tr w:rsidR="00B84DF2" w14:paraId="5CED1A68" w14:textId="77777777" w:rsidTr="00E808BA">
        <w:tc>
          <w:tcPr>
            <w:tcW w:w="2830" w:type="dxa"/>
            <w:shd w:val="clear" w:color="auto" w:fill="C3C5EE" w:themeFill="accent4"/>
          </w:tcPr>
          <w:p w14:paraId="1AE94D2B" w14:textId="292D33FC" w:rsidR="00B84DF2" w:rsidRDefault="00B84DF2" w:rsidP="009D7911">
            <w:r>
              <w:t>8c to VSM</w:t>
            </w:r>
          </w:p>
        </w:tc>
        <w:tc>
          <w:tcPr>
            <w:tcW w:w="363" w:type="dxa"/>
            <w:shd w:val="clear" w:color="auto" w:fill="EAF2C0"/>
          </w:tcPr>
          <w:p w14:paraId="03423614" w14:textId="6453D999" w:rsidR="00B84DF2" w:rsidRDefault="00B84DF2" w:rsidP="009D7911">
            <w:r>
              <w:t>7.5%</w:t>
            </w:r>
          </w:p>
        </w:tc>
        <w:tc>
          <w:tcPr>
            <w:tcW w:w="897" w:type="dxa"/>
          </w:tcPr>
          <w:p w14:paraId="1E214D5F" w14:textId="321AE088" w:rsidR="00B84DF2" w:rsidRDefault="00B84DF2" w:rsidP="009D7911">
            <w:r>
              <w:t>87.5%</w:t>
            </w:r>
          </w:p>
        </w:tc>
        <w:tc>
          <w:tcPr>
            <w:tcW w:w="1217" w:type="dxa"/>
          </w:tcPr>
          <w:p w14:paraId="7EA20084" w14:textId="5C92CBED" w:rsidR="00B84DF2" w:rsidRDefault="00B84DF2" w:rsidP="009D7911">
            <w:r>
              <w:t>5.0%</w:t>
            </w:r>
          </w:p>
        </w:tc>
        <w:tc>
          <w:tcPr>
            <w:tcW w:w="1146" w:type="dxa"/>
            <w:shd w:val="clear" w:color="auto" w:fill="EAF2C0"/>
          </w:tcPr>
          <w:p w14:paraId="578A9E8F" w14:textId="766D0F7C" w:rsidR="00B84DF2" w:rsidRDefault="00B84DF2" w:rsidP="009D7911">
            <w:r>
              <w:t>0.0%</w:t>
            </w:r>
          </w:p>
        </w:tc>
        <w:tc>
          <w:tcPr>
            <w:tcW w:w="1276" w:type="dxa"/>
          </w:tcPr>
          <w:p w14:paraId="7BF1AC83" w14:textId="43572462" w:rsidR="00B84DF2" w:rsidRDefault="00E808BA" w:rsidP="009D7911">
            <w:r>
              <w:t>100%</w:t>
            </w:r>
          </w:p>
        </w:tc>
        <w:tc>
          <w:tcPr>
            <w:tcW w:w="1380" w:type="dxa"/>
          </w:tcPr>
          <w:p w14:paraId="01741242" w14:textId="40D34CC2" w:rsidR="00B84DF2" w:rsidRDefault="00E808BA" w:rsidP="009D7911">
            <w:r>
              <w:t>0.0%</w:t>
            </w:r>
          </w:p>
        </w:tc>
      </w:tr>
    </w:tbl>
    <w:p w14:paraId="56CB08D8" w14:textId="77777777" w:rsidR="00B84DF2" w:rsidRDefault="00B84DF2" w:rsidP="00B5684E"/>
    <w:p w14:paraId="28BB8AAE" w14:textId="5FB39B83" w:rsidR="00E808BA" w:rsidRDefault="00E808BA" w:rsidP="00B5684E">
      <w:r>
        <w:t xml:space="preserve">It should also be noted that although BME percentage headcount has increased from 2023/24 data, these have been at the lowest bandings for both clinical and non-clinical. Furthermore, non-clinical banding 8c and above has seen a decrease of 1.1% and clinical has seen no movement </w:t>
      </w:r>
      <w:r w:rsidR="00093311">
        <w:t xml:space="preserve">with BME posts remaining at 0.0% year on year. </w:t>
      </w:r>
    </w:p>
    <w:p w14:paraId="2A6ED1D5" w14:textId="11D90431" w:rsidR="00093311" w:rsidRDefault="00093311" w:rsidP="00B5684E">
      <w:r>
        <w:t xml:space="preserve">Additionally, board level </w:t>
      </w:r>
      <w:r w:rsidR="006961A0">
        <w:t xml:space="preserve">representation has an equal amount of unknown (16.7%) to BME (16.7%) with White representation reporting at </w:t>
      </w:r>
      <w:r>
        <w:t>66.7%</w:t>
      </w:r>
      <w:r w:rsidR="006961A0">
        <w:t xml:space="preserve">. This causes us to be unable to show an accurate reflection of board representation. </w:t>
      </w:r>
    </w:p>
    <w:p w14:paraId="6716638B" w14:textId="7AD94B88" w:rsidR="00093311" w:rsidRDefault="00093311" w:rsidP="00B5684E">
      <w:r>
        <w:t xml:space="preserve">Recruitment data shows the following: </w:t>
      </w:r>
    </w:p>
    <w:tbl>
      <w:tblPr>
        <w:tblStyle w:val="TableGrid"/>
        <w:tblW w:w="0" w:type="auto"/>
        <w:tblLayout w:type="fixed"/>
        <w:tblLook w:val="04A0" w:firstRow="1" w:lastRow="0" w:firstColumn="1" w:lastColumn="0" w:noHBand="0" w:noVBand="1"/>
      </w:tblPr>
      <w:tblGrid>
        <w:gridCol w:w="3823"/>
        <w:gridCol w:w="1652"/>
        <w:gridCol w:w="1948"/>
        <w:gridCol w:w="1948"/>
      </w:tblGrid>
      <w:tr w:rsidR="00C36F87" w14:paraId="4EC3C6C5" w14:textId="77777777" w:rsidTr="008C4FC9">
        <w:tc>
          <w:tcPr>
            <w:tcW w:w="3823" w:type="dxa"/>
            <w:shd w:val="clear" w:color="auto" w:fill="BFBFBF" w:themeFill="background1" w:themeFillShade="BF"/>
          </w:tcPr>
          <w:p w14:paraId="26B2A5A9" w14:textId="79846634" w:rsidR="00C36F87" w:rsidRDefault="00C36F87" w:rsidP="00B5684E">
            <w:r>
              <w:t>Ethnicity Grouping</w:t>
            </w:r>
          </w:p>
        </w:tc>
        <w:tc>
          <w:tcPr>
            <w:tcW w:w="1652" w:type="dxa"/>
            <w:shd w:val="clear" w:color="auto" w:fill="BFBFBF" w:themeFill="background1" w:themeFillShade="BF"/>
          </w:tcPr>
          <w:p w14:paraId="2E8A1B9D" w14:textId="359CE4C2" w:rsidR="00C36F87" w:rsidRDefault="00C36F87" w:rsidP="00B5684E">
            <w:r>
              <w:t>% of total All Applications</w:t>
            </w:r>
          </w:p>
        </w:tc>
        <w:tc>
          <w:tcPr>
            <w:tcW w:w="1948" w:type="dxa"/>
            <w:shd w:val="clear" w:color="auto" w:fill="BFBFBF" w:themeFill="background1" w:themeFillShade="BF"/>
          </w:tcPr>
          <w:p w14:paraId="03521A00" w14:textId="700106B7" w:rsidR="00C36F87" w:rsidRDefault="00C36F87" w:rsidP="00B5684E">
            <w:r>
              <w:t>% of total Shortlisted</w:t>
            </w:r>
          </w:p>
        </w:tc>
        <w:tc>
          <w:tcPr>
            <w:tcW w:w="1948" w:type="dxa"/>
            <w:shd w:val="clear" w:color="auto" w:fill="BFBFBF" w:themeFill="background1" w:themeFillShade="BF"/>
          </w:tcPr>
          <w:p w14:paraId="6E83BBAD" w14:textId="6F09D638" w:rsidR="00C36F87" w:rsidRDefault="00C36F87" w:rsidP="00B5684E">
            <w:r>
              <w:t xml:space="preserve">% of total appointed </w:t>
            </w:r>
          </w:p>
        </w:tc>
      </w:tr>
      <w:tr w:rsidR="00C36F87" w14:paraId="6BE02C8E" w14:textId="77777777" w:rsidTr="008C4FC9">
        <w:tc>
          <w:tcPr>
            <w:tcW w:w="3823" w:type="dxa"/>
            <w:shd w:val="clear" w:color="auto" w:fill="C3C5EE" w:themeFill="accent4"/>
          </w:tcPr>
          <w:p w14:paraId="47AD5533" w14:textId="13825987" w:rsidR="00C36F87" w:rsidRDefault="00C36F87" w:rsidP="00B5684E">
            <w:r>
              <w:t>White</w:t>
            </w:r>
          </w:p>
        </w:tc>
        <w:tc>
          <w:tcPr>
            <w:tcW w:w="1652" w:type="dxa"/>
          </w:tcPr>
          <w:p w14:paraId="5FAA5300" w14:textId="09AB9650" w:rsidR="00C36F87" w:rsidRDefault="00C36F87" w:rsidP="00B5684E">
            <w:r>
              <w:t>26.7%</w:t>
            </w:r>
          </w:p>
        </w:tc>
        <w:tc>
          <w:tcPr>
            <w:tcW w:w="1948" w:type="dxa"/>
          </w:tcPr>
          <w:p w14:paraId="243F2029" w14:textId="6477939B" w:rsidR="00C36F87" w:rsidRDefault="00C36F87" w:rsidP="00B5684E">
            <w:r>
              <w:t>58.9%</w:t>
            </w:r>
          </w:p>
        </w:tc>
        <w:tc>
          <w:tcPr>
            <w:tcW w:w="1948" w:type="dxa"/>
          </w:tcPr>
          <w:p w14:paraId="314CD6FB" w14:textId="3AD3674B" w:rsidR="00C36F87" w:rsidRDefault="00C36F87" w:rsidP="00B5684E">
            <w:r>
              <w:t>73.3%</w:t>
            </w:r>
          </w:p>
        </w:tc>
      </w:tr>
      <w:tr w:rsidR="00C36F87" w14:paraId="66631BBF" w14:textId="77777777" w:rsidTr="008C4FC9">
        <w:tc>
          <w:tcPr>
            <w:tcW w:w="3823" w:type="dxa"/>
            <w:shd w:val="clear" w:color="auto" w:fill="C3C5EE" w:themeFill="accent4"/>
          </w:tcPr>
          <w:p w14:paraId="121A2778" w14:textId="5BA5C396" w:rsidR="00C36F87" w:rsidRDefault="00C36F87" w:rsidP="00B5684E">
            <w:r>
              <w:t>BME</w:t>
            </w:r>
          </w:p>
        </w:tc>
        <w:tc>
          <w:tcPr>
            <w:tcW w:w="1652" w:type="dxa"/>
          </w:tcPr>
          <w:p w14:paraId="1068DF05" w14:textId="6F318EAD" w:rsidR="00C36F87" w:rsidRDefault="00C36F87" w:rsidP="00B5684E">
            <w:r>
              <w:t>70.3%</w:t>
            </w:r>
          </w:p>
        </w:tc>
        <w:tc>
          <w:tcPr>
            <w:tcW w:w="1948" w:type="dxa"/>
          </w:tcPr>
          <w:p w14:paraId="22406DAD" w14:textId="5764604E" w:rsidR="00C36F87" w:rsidRDefault="00C36F87" w:rsidP="00B5684E">
            <w:r>
              <w:t>38.2%</w:t>
            </w:r>
          </w:p>
        </w:tc>
        <w:tc>
          <w:tcPr>
            <w:tcW w:w="1948" w:type="dxa"/>
          </w:tcPr>
          <w:p w14:paraId="011A3B57" w14:textId="1099A7ED" w:rsidR="00C36F87" w:rsidRDefault="00C36F87" w:rsidP="00B5684E">
            <w:r>
              <w:t>23.3%</w:t>
            </w:r>
          </w:p>
        </w:tc>
      </w:tr>
      <w:tr w:rsidR="00C36F87" w14:paraId="47227884" w14:textId="77777777" w:rsidTr="008C4FC9">
        <w:tc>
          <w:tcPr>
            <w:tcW w:w="3823" w:type="dxa"/>
            <w:shd w:val="clear" w:color="auto" w:fill="C3C5EE" w:themeFill="accent4"/>
          </w:tcPr>
          <w:p w14:paraId="032C4F80" w14:textId="5EFD5FBE" w:rsidR="00C36F87" w:rsidRDefault="00C36F87" w:rsidP="00B5684E">
            <w:r>
              <w:t>Unknown</w:t>
            </w:r>
          </w:p>
        </w:tc>
        <w:tc>
          <w:tcPr>
            <w:tcW w:w="1652" w:type="dxa"/>
          </w:tcPr>
          <w:p w14:paraId="55F289A9" w14:textId="51307D4E" w:rsidR="00C36F87" w:rsidRDefault="00C36F87" w:rsidP="00B5684E">
            <w:r>
              <w:t>3.0%</w:t>
            </w:r>
          </w:p>
        </w:tc>
        <w:tc>
          <w:tcPr>
            <w:tcW w:w="1948" w:type="dxa"/>
          </w:tcPr>
          <w:p w14:paraId="54980006" w14:textId="2C8E0D3A" w:rsidR="00C36F87" w:rsidRDefault="00C36F87" w:rsidP="00B5684E">
            <w:r>
              <w:t>2.9%</w:t>
            </w:r>
          </w:p>
        </w:tc>
        <w:tc>
          <w:tcPr>
            <w:tcW w:w="1948" w:type="dxa"/>
          </w:tcPr>
          <w:p w14:paraId="1BCA9E2A" w14:textId="2B39323E" w:rsidR="00C36F87" w:rsidRDefault="00C36F87" w:rsidP="00B5684E">
            <w:r>
              <w:t>3.4%</w:t>
            </w:r>
          </w:p>
        </w:tc>
      </w:tr>
    </w:tbl>
    <w:p w14:paraId="3DD0F302" w14:textId="77777777" w:rsidR="00093311" w:rsidRDefault="00093311" w:rsidP="00B5684E"/>
    <w:p w14:paraId="3BFF2F92" w14:textId="106766BC" w:rsidR="00297E66" w:rsidRDefault="00297E66" w:rsidP="00B5684E">
      <w:r>
        <w:t>The data indicates that we are overrepresented in terms of BME applications</w:t>
      </w:r>
      <w:r w:rsidR="005669F4">
        <w:t>;</w:t>
      </w:r>
      <w:r>
        <w:t xml:space="preserve"> however</w:t>
      </w:r>
      <w:r w:rsidR="00D57B19">
        <w:t>,</w:t>
      </w:r>
      <w:r>
        <w:t xml:space="preserve"> the proportion of candidates within this category that are shortlisted reduces significantly at each </w:t>
      </w:r>
      <w:r w:rsidR="00F038B7">
        <w:t>stage</w:t>
      </w:r>
      <w:r>
        <w:t xml:space="preserve"> of the recruitment process. </w:t>
      </w:r>
      <w:r w:rsidR="005D6646">
        <w:t>R</w:t>
      </w:r>
      <w:r w:rsidR="00D57B19">
        <w:t>ejection of interviews are factors</w:t>
      </w:r>
      <w:r w:rsidR="005D6646">
        <w:t xml:space="preserve"> w</w:t>
      </w:r>
      <w:r w:rsidR="006961A0">
        <w:t xml:space="preserve">ith </w:t>
      </w:r>
      <w:r w:rsidR="005D6646">
        <w:t xml:space="preserve">the total number of </w:t>
      </w:r>
      <w:r w:rsidR="006961A0">
        <w:t xml:space="preserve">rejections </w:t>
      </w:r>
      <w:r w:rsidR="005D6646">
        <w:t>showing that BME applicants make up</w:t>
      </w:r>
      <w:r w:rsidR="006961A0">
        <w:t xml:space="preserve"> </w:t>
      </w:r>
      <w:r w:rsidR="00D57B19">
        <w:t xml:space="preserve">44.64% </w:t>
      </w:r>
      <w:r w:rsidR="006961A0">
        <w:t>and</w:t>
      </w:r>
      <w:r w:rsidR="00D57B19">
        <w:t xml:space="preserve"> 51.79% </w:t>
      </w:r>
      <w:r w:rsidR="006961A0">
        <w:t xml:space="preserve">for </w:t>
      </w:r>
      <w:r w:rsidR="00982077">
        <w:t>White</w:t>
      </w:r>
      <w:r w:rsidR="006961A0">
        <w:t xml:space="preserve"> applicants</w:t>
      </w:r>
      <w:r w:rsidR="005D6646">
        <w:t>.</w:t>
      </w:r>
      <w:r w:rsidR="006961A0">
        <w:t xml:space="preserve">  </w:t>
      </w:r>
      <w:r w:rsidR="005D6646">
        <w:t xml:space="preserve">Withdrawal rates are also a key consideration with </w:t>
      </w:r>
      <w:r w:rsidR="00D57B19">
        <w:t>27.64% BME</w:t>
      </w:r>
      <w:r w:rsidR="006961A0">
        <w:t xml:space="preserve"> applicants </w:t>
      </w:r>
      <w:r w:rsidR="005D6646">
        <w:t xml:space="preserve">making up the </w:t>
      </w:r>
      <w:r w:rsidR="006961A0">
        <w:t>withdraw</w:t>
      </w:r>
      <w:r w:rsidR="005D6646">
        <w:t>al rate</w:t>
      </w:r>
      <w:r w:rsidR="006961A0">
        <w:t xml:space="preserve"> </w:t>
      </w:r>
      <w:r w:rsidR="005D6646">
        <w:t>and</w:t>
      </w:r>
      <w:r w:rsidR="00D57B19">
        <w:t xml:space="preserve"> 69.9% </w:t>
      </w:r>
      <w:r w:rsidR="006961A0">
        <w:t>of White applicants</w:t>
      </w:r>
      <w:r w:rsidR="00D57B19">
        <w:t xml:space="preserve">. This data is limited and reduced further when reviewed by ethnicity.  </w:t>
      </w:r>
      <w:r w:rsidR="00F038B7">
        <w:t>However, non-attendance</w:t>
      </w:r>
      <w:r w:rsidR="00D57B19">
        <w:t>, rejection and</w:t>
      </w:r>
      <w:r w:rsidR="00F038B7">
        <w:t xml:space="preserve"> withdrawal figures have improved from last year, highlighting widening racial inequalities within our recruitment processes. </w:t>
      </w:r>
    </w:p>
    <w:p w14:paraId="31902CF4" w14:textId="3DD402A4" w:rsidR="00490A17" w:rsidRDefault="00490A17" w:rsidP="00B5684E">
      <w:r>
        <w:lastRenderedPageBreak/>
        <w:t>Likelihood of appointment:</w:t>
      </w:r>
    </w:p>
    <w:tbl>
      <w:tblPr>
        <w:tblStyle w:val="TableGrid"/>
        <w:tblW w:w="0" w:type="auto"/>
        <w:tblLook w:val="04A0" w:firstRow="1" w:lastRow="0" w:firstColumn="1" w:lastColumn="0" w:noHBand="0" w:noVBand="1"/>
      </w:tblPr>
      <w:tblGrid>
        <w:gridCol w:w="4869"/>
        <w:gridCol w:w="4870"/>
      </w:tblGrid>
      <w:tr w:rsidR="00490A17" w14:paraId="1646BFBF" w14:textId="77777777" w:rsidTr="00006274">
        <w:tc>
          <w:tcPr>
            <w:tcW w:w="4869" w:type="dxa"/>
            <w:shd w:val="clear" w:color="auto" w:fill="BFBFBF" w:themeFill="accent6"/>
          </w:tcPr>
          <w:p w14:paraId="0F694F15" w14:textId="30620A52" w:rsidR="00490A17" w:rsidRDefault="00490A17" w:rsidP="00B5684E">
            <w:bookmarkStart w:id="1" w:name="_Hlk203642920"/>
            <w:r>
              <w:t xml:space="preserve">Ethnicity Grouping </w:t>
            </w:r>
          </w:p>
        </w:tc>
        <w:tc>
          <w:tcPr>
            <w:tcW w:w="4870" w:type="dxa"/>
            <w:shd w:val="clear" w:color="auto" w:fill="BFBFBF" w:themeFill="accent6"/>
          </w:tcPr>
          <w:p w14:paraId="560B9B04" w14:textId="796EA9B0" w:rsidR="00490A17" w:rsidRDefault="00490A17" w:rsidP="00B5684E">
            <w:r>
              <w:t xml:space="preserve">Likelihood of appointment from </w:t>
            </w:r>
            <w:r w:rsidR="005F01AC" w:rsidRPr="005F01AC">
              <w:rPr>
                <w:b/>
                <w:bCs/>
              </w:rPr>
              <w:t>shortlisting</w:t>
            </w:r>
          </w:p>
        </w:tc>
      </w:tr>
      <w:tr w:rsidR="00490A17" w14:paraId="4507F82C" w14:textId="77777777" w:rsidTr="00006274">
        <w:tc>
          <w:tcPr>
            <w:tcW w:w="4869" w:type="dxa"/>
            <w:shd w:val="clear" w:color="auto" w:fill="C3C5EE" w:themeFill="accent4"/>
          </w:tcPr>
          <w:p w14:paraId="3336CD51" w14:textId="3305E004" w:rsidR="00490A17" w:rsidRDefault="00490A17" w:rsidP="00B5684E">
            <w:r>
              <w:t>White/White British to BME</w:t>
            </w:r>
          </w:p>
        </w:tc>
        <w:tc>
          <w:tcPr>
            <w:tcW w:w="4870" w:type="dxa"/>
          </w:tcPr>
          <w:p w14:paraId="586F687A" w14:textId="0A4D20CD" w:rsidR="00490A17" w:rsidRDefault="00490A17" w:rsidP="00B5684E">
            <w:r w:rsidRPr="00490A17">
              <w:t>2.03</w:t>
            </w:r>
          </w:p>
        </w:tc>
      </w:tr>
      <w:tr w:rsidR="00490A17" w14:paraId="32CE6C52" w14:textId="77777777" w:rsidTr="00006274">
        <w:tc>
          <w:tcPr>
            <w:tcW w:w="4869" w:type="dxa"/>
            <w:shd w:val="clear" w:color="auto" w:fill="C3C5EE" w:themeFill="accent4"/>
          </w:tcPr>
          <w:p w14:paraId="5DC88062" w14:textId="63357583" w:rsidR="00490A17" w:rsidRDefault="00490A17" w:rsidP="00B5684E">
            <w:r>
              <w:t>White/White British to</w:t>
            </w:r>
            <w:r w:rsidRPr="00490A17">
              <w:t xml:space="preserve"> Black/Black British </w:t>
            </w:r>
          </w:p>
        </w:tc>
        <w:tc>
          <w:tcPr>
            <w:tcW w:w="4870" w:type="dxa"/>
          </w:tcPr>
          <w:p w14:paraId="6FF2059E" w14:textId="7B07B7AF" w:rsidR="00490A17" w:rsidRDefault="00490A17" w:rsidP="00B5684E">
            <w:r>
              <w:t>11.50</w:t>
            </w:r>
          </w:p>
        </w:tc>
      </w:tr>
      <w:tr w:rsidR="00490A17" w14:paraId="0195FD07" w14:textId="77777777" w:rsidTr="00006274">
        <w:tc>
          <w:tcPr>
            <w:tcW w:w="4869" w:type="dxa"/>
            <w:shd w:val="clear" w:color="auto" w:fill="C3C5EE" w:themeFill="accent4"/>
          </w:tcPr>
          <w:p w14:paraId="341E4B40" w14:textId="5A2986DA" w:rsidR="00490A17" w:rsidRDefault="00490A17" w:rsidP="00B5684E">
            <w:r>
              <w:t>White/White British to Asian/Asian British</w:t>
            </w:r>
          </w:p>
        </w:tc>
        <w:tc>
          <w:tcPr>
            <w:tcW w:w="4870" w:type="dxa"/>
          </w:tcPr>
          <w:p w14:paraId="09399857" w14:textId="36C324D3" w:rsidR="00490A17" w:rsidRDefault="00490A17" w:rsidP="00B5684E">
            <w:r>
              <w:t>8.00</w:t>
            </w:r>
          </w:p>
        </w:tc>
      </w:tr>
    </w:tbl>
    <w:bookmarkEnd w:id="1"/>
    <w:p w14:paraId="436CB0B6" w14:textId="40760DCA" w:rsidR="00490A17" w:rsidRPr="00006274" w:rsidRDefault="00006274" w:rsidP="00006274">
      <w:pPr>
        <w:rPr>
          <w:i/>
          <w:iCs/>
        </w:rPr>
      </w:pPr>
      <w:r w:rsidRPr="00006274">
        <w:rPr>
          <w:i/>
          <w:iCs/>
        </w:rPr>
        <w:t xml:space="preserve">*Equity equals 1 and below. Example: Disparity ratio of an organisation is 2.03 it means white staff are 2.03 times more likely to be appointed than BME staff. </w:t>
      </w:r>
    </w:p>
    <w:p w14:paraId="5FA7AEE3" w14:textId="2F3CEA3D" w:rsidR="00006274" w:rsidRDefault="00006274" w:rsidP="00B5684E">
      <w:r w:rsidRPr="00006274">
        <w:t xml:space="preserve">The WRES data indicates that the relative likelihood of white candidates being appointed from shortlisting compared to BME candidates is 2.03. However, when looking further into the data by ethnicity breakdown, the relative likelihood of White/White British candidates being appointed from shortlisting compared to Asian/Asian British is 8.00 and White/White British to Black/Black British is 11.50. The figures overall show a lower aggregation due to BME grouping including ‘mixed heritage’ and ‘other’, with lower </w:t>
      </w:r>
      <w:r w:rsidR="005D6646">
        <w:t xml:space="preserve">levels of </w:t>
      </w:r>
      <w:proofErr w:type="spellStart"/>
      <w:r w:rsidRPr="00006274">
        <w:t>applicant</w:t>
      </w:r>
      <w:r w:rsidR="005D6646">
        <w:t>ions</w:t>
      </w:r>
      <w:proofErr w:type="spellEnd"/>
      <w:r w:rsidRPr="00006274">
        <w:t xml:space="preserve"> in these ethnic groupings reducing the overall likelihood ratio.   </w:t>
      </w:r>
    </w:p>
    <w:tbl>
      <w:tblPr>
        <w:tblStyle w:val="TableGrid"/>
        <w:tblW w:w="0" w:type="auto"/>
        <w:tblLook w:val="04A0" w:firstRow="1" w:lastRow="0" w:firstColumn="1" w:lastColumn="0" w:noHBand="0" w:noVBand="1"/>
      </w:tblPr>
      <w:tblGrid>
        <w:gridCol w:w="4869"/>
        <w:gridCol w:w="4870"/>
      </w:tblGrid>
      <w:tr w:rsidR="00490A17" w14:paraId="337E9640" w14:textId="77777777" w:rsidTr="00006274">
        <w:tc>
          <w:tcPr>
            <w:tcW w:w="4869" w:type="dxa"/>
            <w:shd w:val="clear" w:color="auto" w:fill="BFBFBF" w:themeFill="accent6"/>
          </w:tcPr>
          <w:p w14:paraId="42D1C19E" w14:textId="77777777" w:rsidR="00490A17" w:rsidRDefault="00490A17" w:rsidP="00DF7508">
            <w:r>
              <w:t xml:space="preserve">Ethnicity Grouping </w:t>
            </w:r>
          </w:p>
        </w:tc>
        <w:tc>
          <w:tcPr>
            <w:tcW w:w="4870" w:type="dxa"/>
            <w:shd w:val="clear" w:color="auto" w:fill="BFBFBF" w:themeFill="accent6"/>
          </w:tcPr>
          <w:p w14:paraId="03FD9D0C" w14:textId="73CCA4EC" w:rsidR="00490A17" w:rsidRDefault="00490A17" w:rsidP="00DF7508">
            <w:r>
              <w:t xml:space="preserve">Likelihood of appointment from </w:t>
            </w:r>
            <w:r w:rsidR="00006274" w:rsidRPr="005F01AC">
              <w:rPr>
                <w:b/>
                <w:bCs/>
              </w:rPr>
              <w:t>application</w:t>
            </w:r>
          </w:p>
        </w:tc>
      </w:tr>
      <w:tr w:rsidR="00490A17" w14:paraId="310CA0CB" w14:textId="77777777" w:rsidTr="00006274">
        <w:tc>
          <w:tcPr>
            <w:tcW w:w="4869" w:type="dxa"/>
            <w:shd w:val="clear" w:color="auto" w:fill="C3C5EE" w:themeFill="accent4"/>
          </w:tcPr>
          <w:p w14:paraId="4BE6B675" w14:textId="77777777" w:rsidR="00490A17" w:rsidRDefault="00490A17" w:rsidP="00DF7508">
            <w:r>
              <w:t>White/White British to</w:t>
            </w:r>
            <w:r w:rsidRPr="00490A17">
              <w:t xml:space="preserve"> Black/Black British </w:t>
            </w:r>
          </w:p>
        </w:tc>
        <w:tc>
          <w:tcPr>
            <w:tcW w:w="4870" w:type="dxa"/>
          </w:tcPr>
          <w:p w14:paraId="6CF2935F" w14:textId="77C83244" w:rsidR="00490A17" w:rsidRDefault="00006274" w:rsidP="00DF7508">
            <w:r>
              <w:t>48.90</w:t>
            </w:r>
          </w:p>
        </w:tc>
      </w:tr>
      <w:tr w:rsidR="00490A17" w14:paraId="2E882E45" w14:textId="77777777" w:rsidTr="00006274">
        <w:tc>
          <w:tcPr>
            <w:tcW w:w="4869" w:type="dxa"/>
            <w:shd w:val="clear" w:color="auto" w:fill="C3C5EE" w:themeFill="accent4"/>
          </w:tcPr>
          <w:p w14:paraId="4C815A32" w14:textId="77777777" w:rsidR="00490A17" w:rsidRDefault="00490A17" w:rsidP="00DF7508">
            <w:r>
              <w:t>White/White British to Asian/Asian British</w:t>
            </w:r>
          </w:p>
        </w:tc>
        <w:tc>
          <w:tcPr>
            <w:tcW w:w="4870" w:type="dxa"/>
          </w:tcPr>
          <w:p w14:paraId="196E10D3" w14:textId="7857E444" w:rsidR="00490A17" w:rsidRDefault="00006274" w:rsidP="00DF7508">
            <w:r>
              <w:t>48.90</w:t>
            </w:r>
          </w:p>
        </w:tc>
      </w:tr>
    </w:tbl>
    <w:p w14:paraId="6DBE837D" w14:textId="77777777" w:rsidR="00490A17" w:rsidRDefault="00490A17" w:rsidP="00B5684E"/>
    <w:p w14:paraId="3C093E3E" w14:textId="5215C994" w:rsidR="00006274" w:rsidRDefault="00006274" w:rsidP="00B5684E">
      <w:r w:rsidRPr="00006274">
        <w:t xml:space="preserve">Furthermore, if reviewing from application to appointment White / White British applicants are 48.9 times more likely to be appointed from application than Asian/Asian British applicants and this is the same for Black/Black African applicants. This is key to note as </w:t>
      </w:r>
      <w:proofErr w:type="gramStart"/>
      <w:r w:rsidRPr="00006274">
        <w:t>the majority of</w:t>
      </w:r>
      <w:proofErr w:type="gramEnd"/>
      <w:r w:rsidRPr="00006274">
        <w:t xml:space="preserve"> our applicants identify as Asian/Asian British (34.10%) or Black/Black British (32.25%). </w:t>
      </w:r>
    </w:p>
    <w:p w14:paraId="0105AC41" w14:textId="523FD2CF" w:rsidR="005669F4" w:rsidRPr="005669F4" w:rsidRDefault="005669F4" w:rsidP="00B5684E">
      <w:pPr>
        <w:rPr>
          <w:b/>
          <w:bCs/>
        </w:rPr>
      </w:pPr>
      <w:r w:rsidRPr="005669F4">
        <w:rPr>
          <w:b/>
          <w:bCs/>
        </w:rPr>
        <w:t>Withdr</w:t>
      </w:r>
      <w:r w:rsidR="00022A48">
        <w:rPr>
          <w:b/>
          <w:bCs/>
        </w:rPr>
        <w:t>awals</w:t>
      </w:r>
      <w:r w:rsidR="00BB7064">
        <w:rPr>
          <w:b/>
          <w:bCs/>
        </w:rPr>
        <w:t xml:space="preserve">, rejections and </w:t>
      </w:r>
      <w:r w:rsidR="00022A48">
        <w:rPr>
          <w:b/>
          <w:bCs/>
        </w:rPr>
        <w:t>DNAs by ethnicity</w:t>
      </w:r>
    </w:p>
    <w:p w14:paraId="3FE9C048" w14:textId="2A073123" w:rsidR="005669F4" w:rsidRDefault="00701305" w:rsidP="0050121D">
      <w:pPr>
        <w:jc w:val="center"/>
      </w:pPr>
      <w:r>
        <w:rPr>
          <w:noProof/>
        </w:rPr>
        <w:drawing>
          <wp:inline distT="0" distB="0" distL="0" distR="0" wp14:anchorId="70F4E10E" wp14:editId="248E80B0">
            <wp:extent cx="4455994" cy="2558955"/>
            <wp:effectExtent l="0" t="0" r="1905" b="13335"/>
            <wp:docPr id="2085009064" name="Chart 1" descr="A graph showing withdrawals, rejections and did not arrive to interviews by ethnicity. ">
              <a:extLst xmlns:a="http://schemas.openxmlformats.org/drawingml/2006/main">
                <a:ext uri="{FF2B5EF4-FFF2-40B4-BE49-F238E27FC236}">
                  <a16:creationId xmlns:a16="http://schemas.microsoft.com/office/drawing/2014/main" id="{AF567B48-9C6A-CC45-54CE-03D73BAE2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ABDDE7" w14:textId="0EC4AE4B" w:rsidR="00BB798E" w:rsidRPr="00BB798E" w:rsidRDefault="00BB798E" w:rsidP="00B5684E">
      <w:pPr>
        <w:rPr>
          <w:b/>
          <w:bCs/>
        </w:rPr>
      </w:pPr>
      <w:r w:rsidRPr="00BB798E">
        <w:rPr>
          <w:b/>
          <w:bCs/>
        </w:rPr>
        <w:t>Staff Survey data by ethnicity</w:t>
      </w:r>
    </w:p>
    <w:p w14:paraId="07AB299B" w14:textId="09A2C1EA" w:rsidR="005669F4" w:rsidRDefault="00C91692" w:rsidP="00B5684E">
      <w:r>
        <w:t>Likelihood of entering into a formal disciplinary process –</w:t>
      </w:r>
      <w:r w:rsidR="0050121D" w:rsidRPr="0050121D">
        <w:t xml:space="preserve"> numbers are very small for the ICB, any figures above 1.0 indicates that BME staff are more likely to enter into formal </w:t>
      </w:r>
      <w:r w:rsidR="0050121D" w:rsidRPr="0050121D">
        <w:lastRenderedPageBreak/>
        <w:t xml:space="preserve">disciplinary processes than White staff members, this figure is reported at </w:t>
      </w:r>
      <w:r w:rsidR="0050121D">
        <w:t>0.0</w:t>
      </w:r>
      <w:r w:rsidR="0050121D" w:rsidRPr="0050121D">
        <w:t xml:space="preserve"> (a figure above 1 indicates that BME staff are more likely than white staff to enter formal disciplinary processes).</w:t>
      </w:r>
      <w:r w:rsidR="0050121D">
        <w:t xml:space="preserve"> </w:t>
      </w:r>
    </w:p>
    <w:p w14:paraId="6C6556D7" w14:textId="39752DC3" w:rsidR="00C91692" w:rsidRDefault="00C91692" w:rsidP="00B5684E">
      <w:r>
        <w:t xml:space="preserve">Additional information from the staff survey has also been reviewed in the context of ethnicity (see Appendix </w:t>
      </w:r>
      <w:r w:rsidR="00BB798E">
        <w:t>2</w:t>
      </w:r>
      <w:r>
        <w:t xml:space="preserve">). </w:t>
      </w:r>
    </w:p>
    <w:p w14:paraId="6945F137" w14:textId="1598761B" w:rsidR="00C91692" w:rsidRDefault="00C91692" w:rsidP="00B5684E">
      <w:r>
        <w:t xml:space="preserve">To summarise (noting sample size of </w:t>
      </w:r>
      <w:r w:rsidR="000D1736">
        <w:t>W</w:t>
      </w:r>
      <w:r>
        <w:t>hite</w:t>
      </w:r>
      <w:r w:rsidR="000D1736">
        <w:t xml:space="preserve"> - 317, BME - 30</w:t>
      </w:r>
      <w:r>
        <w:t xml:space="preserve">): </w:t>
      </w:r>
    </w:p>
    <w:tbl>
      <w:tblPr>
        <w:tblStyle w:val="TableGrid"/>
        <w:tblW w:w="0" w:type="auto"/>
        <w:tblLook w:val="04A0" w:firstRow="1" w:lastRow="0" w:firstColumn="1" w:lastColumn="0" w:noHBand="0" w:noVBand="1"/>
      </w:tblPr>
      <w:tblGrid>
        <w:gridCol w:w="5098"/>
        <w:gridCol w:w="1843"/>
        <w:gridCol w:w="1418"/>
        <w:gridCol w:w="1380"/>
      </w:tblGrid>
      <w:tr w:rsidR="00C91692" w14:paraId="0374D291" w14:textId="77777777" w:rsidTr="000D1736">
        <w:tc>
          <w:tcPr>
            <w:tcW w:w="5098" w:type="dxa"/>
            <w:shd w:val="clear" w:color="auto" w:fill="BFBFBF" w:themeFill="accent6"/>
          </w:tcPr>
          <w:p w14:paraId="356FFAFE" w14:textId="0BCE4BEC" w:rsidR="00C91692" w:rsidRDefault="000D1736" w:rsidP="00B5684E">
            <w:bookmarkStart w:id="2" w:name="_Hlk200529856"/>
            <w:r>
              <w:t>Staff survey questions</w:t>
            </w:r>
          </w:p>
        </w:tc>
        <w:tc>
          <w:tcPr>
            <w:tcW w:w="1843" w:type="dxa"/>
            <w:shd w:val="clear" w:color="auto" w:fill="BFBFBF" w:themeFill="accent6"/>
          </w:tcPr>
          <w:p w14:paraId="23FCB12D" w14:textId="5B20031E" w:rsidR="00C91692" w:rsidRDefault="00C91692" w:rsidP="00B5684E">
            <w:r>
              <w:t>% organisation overall</w:t>
            </w:r>
          </w:p>
        </w:tc>
        <w:tc>
          <w:tcPr>
            <w:tcW w:w="1418" w:type="dxa"/>
            <w:shd w:val="clear" w:color="auto" w:fill="BFBFBF" w:themeFill="accent6"/>
          </w:tcPr>
          <w:p w14:paraId="3025C917" w14:textId="10035C3F" w:rsidR="00C91692" w:rsidRDefault="00C91692" w:rsidP="00B5684E">
            <w:r>
              <w:t>% White</w:t>
            </w:r>
          </w:p>
        </w:tc>
        <w:tc>
          <w:tcPr>
            <w:tcW w:w="1380" w:type="dxa"/>
            <w:shd w:val="clear" w:color="auto" w:fill="BFBFBF" w:themeFill="accent6"/>
          </w:tcPr>
          <w:p w14:paraId="34A0449C" w14:textId="19C8107D" w:rsidR="00C91692" w:rsidRDefault="00C91692" w:rsidP="00B5684E">
            <w:r>
              <w:t>% BME</w:t>
            </w:r>
          </w:p>
        </w:tc>
      </w:tr>
      <w:tr w:rsidR="00C91692" w14:paraId="52CF7C2E" w14:textId="77777777" w:rsidTr="000D1736">
        <w:tc>
          <w:tcPr>
            <w:tcW w:w="5098" w:type="dxa"/>
            <w:shd w:val="clear" w:color="auto" w:fill="C3C5EE" w:themeFill="accent4"/>
          </w:tcPr>
          <w:p w14:paraId="33BEB980" w14:textId="00893431" w:rsidR="00C91692" w:rsidRDefault="000D1736" w:rsidP="00B5684E">
            <w:r w:rsidRPr="000D1736">
              <w:t>Percentage of</w:t>
            </w:r>
            <w:r>
              <w:t xml:space="preserve"> </w:t>
            </w:r>
            <w:r w:rsidRPr="000D1736">
              <w:t>staff experiencing harassment, bullying or abuse from staff in last 12 months</w:t>
            </w:r>
          </w:p>
        </w:tc>
        <w:tc>
          <w:tcPr>
            <w:tcW w:w="1843" w:type="dxa"/>
          </w:tcPr>
          <w:p w14:paraId="36DF3F83" w14:textId="524CC244" w:rsidR="00C91692" w:rsidRDefault="000D1736" w:rsidP="00B5684E">
            <w:r>
              <w:t>14.8</w:t>
            </w:r>
          </w:p>
        </w:tc>
        <w:tc>
          <w:tcPr>
            <w:tcW w:w="1418" w:type="dxa"/>
          </w:tcPr>
          <w:p w14:paraId="2D946087" w14:textId="38EED29B" w:rsidR="00C91692" w:rsidRDefault="000D1736" w:rsidP="00B5684E">
            <w:r>
              <w:t>13.9</w:t>
            </w:r>
          </w:p>
        </w:tc>
        <w:tc>
          <w:tcPr>
            <w:tcW w:w="1380" w:type="dxa"/>
          </w:tcPr>
          <w:p w14:paraId="3047F003" w14:textId="257F07E5" w:rsidR="00C91692" w:rsidRDefault="000D1736" w:rsidP="00B5684E">
            <w:r>
              <w:t>26.7</w:t>
            </w:r>
          </w:p>
        </w:tc>
      </w:tr>
      <w:tr w:rsidR="00C91692" w14:paraId="593D322A" w14:textId="77777777" w:rsidTr="000D1736">
        <w:tc>
          <w:tcPr>
            <w:tcW w:w="5098" w:type="dxa"/>
            <w:shd w:val="clear" w:color="auto" w:fill="C3C5EE" w:themeFill="accent4"/>
          </w:tcPr>
          <w:p w14:paraId="7CDBC96C" w14:textId="447D430B" w:rsidR="00C91692" w:rsidRDefault="000D1736" w:rsidP="00B5684E">
            <w:r w:rsidRPr="000D1736">
              <w:t>Percentage of staff believing that trust provides equal opportunities for career progression or promotion</w:t>
            </w:r>
          </w:p>
        </w:tc>
        <w:tc>
          <w:tcPr>
            <w:tcW w:w="1843" w:type="dxa"/>
          </w:tcPr>
          <w:p w14:paraId="16CB36D6" w14:textId="1E9DF60E" w:rsidR="00C91692" w:rsidRDefault="000D1736" w:rsidP="00B5684E">
            <w:r>
              <w:t>55.7</w:t>
            </w:r>
          </w:p>
        </w:tc>
        <w:tc>
          <w:tcPr>
            <w:tcW w:w="1418" w:type="dxa"/>
          </w:tcPr>
          <w:p w14:paraId="0D037A4D" w14:textId="204FB7E1" w:rsidR="00C91692" w:rsidRDefault="000D1736" w:rsidP="00B5684E">
            <w:r>
              <w:t>56.6</w:t>
            </w:r>
          </w:p>
        </w:tc>
        <w:tc>
          <w:tcPr>
            <w:tcW w:w="1380" w:type="dxa"/>
          </w:tcPr>
          <w:p w14:paraId="5977852F" w14:textId="65D2ACC6" w:rsidR="00C91692" w:rsidRDefault="000D1736" w:rsidP="00B5684E">
            <w:r>
              <w:t>46.7</w:t>
            </w:r>
          </w:p>
        </w:tc>
      </w:tr>
      <w:tr w:rsidR="00C91692" w14:paraId="59B1A550" w14:textId="77777777" w:rsidTr="000D1736">
        <w:tc>
          <w:tcPr>
            <w:tcW w:w="5098" w:type="dxa"/>
            <w:shd w:val="clear" w:color="auto" w:fill="C3C5EE" w:themeFill="accent4"/>
          </w:tcPr>
          <w:p w14:paraId="1BBA6A26" w14:textId="31E84D92" w:rsidR="00C91692" w:rsidRDefault="000D1736" w:rsidP="00B5684E">
            <w:r w:rsidRPr="000D1736">
              <w:t>Percentage of staff experiencing discrimination from staff in last 12 months</w:t>
            </w:r>
          </w:p>
        </w:tc>
        <w:tc>
          <w:tcPr>
            <w:tcW w:w="1843" w:type="dxa"/>
          </w:tcPr>
          <w:p w14:paraId="5986F511" w14:textId="147912D2" w:rsidR="00C91692" w:rsidRDefault="000D1736" w:rsidP="00B5684E">
            <w:r>
              <w:t>7.2</w:t>
            </w:r>
          </w:p>
        </w:tc>
        <w:tc>
          <w:tcPr>
            <w:tcW w:w="1418" w:type="dxa"/>
          </w:tcPr>
          <w:p w14:paraId="29746F09" w14:textId="3FC2EC00" w:rsidR="00C91692" w:rsidRDefault="000D1736" w:rsidP="00B5684E">
            <w:r>
              <w:t>6.7</w:t>
            </w:r>
          </w:p>
        </w:tc>
        <w:tc>
          <w:tcPr>
            <w:tcW w:w="1380" w:type="dxa"/>
          </w:tcPr>
          <w:p w14:paraId="72D46849" w14:textId="7FC4A2F7" w:rsidR="00C91692" w:rsidRDefault="000D1736" w:rsidP="00B5684E">
            <w:r>
              <w:t>13.8</w:t>
            </w:r>
          </w:p>
        </w:tc>
      </w:tr>
    </w:tbl>
    <w:bookmarkEnd w:id="2"/>
    <w:p w14:paraId="74B325DF" w14:textId="00710635" w:rsidR="00996EAC" w:rsidRDefault="00996EAC" w:rsidP="00570939">
      <w:pPr>
        <w:pStyle w:val="Heading2"/>
      </w:pPr>
      <w:r>
        <w:t xml:space="preserve">Actions: </w:t>
      </w:r>
    </w:p>
    <w:p w14:paraId="2876DF36" w14:textId="3EC16DE9" w:rsidR="00570939" w:rsidRDefault="00996EAC" w:rsidP="00B5684E">
      <w:r>
        <w:t xml:space="preserve">This data was previously </w:t>
      </w:r>
      <w:r w:rsidR="00570939">
        <w:t xml:space="preserve">planned to be woven into our </w:t>
      </w:r>
      <w:r w:rsidR="0074677B">
        <w:t xml:space="preserve">Organisational </w:t>
      </w:r>
      <w:r w:rsidR="00570939">
        <w:t>D</w:t>
      </w:r>
      <w:r w:rsidR="0074677B">
        <w:t>evelopment</w:t>
      </w:r>
      <w:r w:rsidR="00570939">
        <w:t xml:space="preserve"> Plan; however, due to the NHS organisational change process resulting in reductions in corporate growth, ICBs are currently forming cluster organisations before formal mergers</w:t>
      </w:r>
      <w:r>
        <w:t>. Due to this, we</w:t>
      </w:r>
      <w:r w:rsidR="00570939">
        <w:t>’</w:t>
      </w:r>
      <w:r>
        <w:t xml:space="preserve">re unable to create clear actions as </w:t>
      </w:r>
      <w:r w:rsidR="00570939">
        <w:t>it</w:t>
      </w:r>
      <w:r>
        <w:t xml:space="preserve"> stand</w:t>
      </w:r>
      <w:r w:rsidR="00570939">
        <w:t>s</w:t>
      </w:r>
      <w:r>
        <w:t xml:space="preserve">. </w:t>
      </w:r>
    </w:p>
    <w:p w14:paraId="6D7892C1" w14:textId="1816DEDC" w:rsidR="00996EAC" w:rsidRDefault="00996EAC" w:rsidP="00B5684E">
      <w:r>
        <w:t xml:space="preserve">However, the following </w:t>
      </w:r>
      <w:r w:rsidR="00F261B1">
        <w:t>actions</w:t>
      </w:r>
      <w:r>
        <w:t xml:space="preserve"> should be taken </w:t>
      </w:r>
      <w:r w:rsidR="0074677B">
        <w:t>into</w:t>
      </w:r>
      <w:r>
        <w:t xml:space="preserve"> consideration</w:t>
      </w:r>
      <w:r w:rsidR="00F261B1">
        <w:t xml:space="preserve"> for delivery</w:t>
      </w:r>
      <w:r>
        <w:t xml:space="preserve">: </w:t>
      </w:r>
    </w:p>
    <w:p w14:paraId="55751C92" w14:textId="497D428A" w:rsidR="00570939" w:rsidRDefault="00F261B1" w:rsidP="005D6646">
      <w:pPr>
        <w:pStyle w:val="ListParagraph"/>
        <w:numPr>
          <w:ilvl w:val="0"/>
          <w:numId w:val="5"/>
        </w:numPr>
      </w:pPr>
      <w:r w:rsidRPr="00F261B1">
        <w:t>Inclusive recruitment bitesize e-learning to be rolled out across the organisation</w:t>
      </w:r>
      <w:r>
        <w:t xml:space="preserve"> </w:t>
      </w:r>
    </w:p>
    <w:p w14:paraId="3A3BA60B" w14:textId="69B38926" w:rsidR="00F261B1" w:rsidRDefault="00F261B1" w:rsidP="005D6646">
      <w:pPr>
        <w:pStyle w:val="ListParagraph"/>
        <w:numPr>
          <w:ilvl w:val="0"/>
          <w:numId w:val="5"/>
        </w:numPr>
      </w:pPr>
      <w:r w:rsidRPr="00F261B1">
        <w:t>Overhaul of recruitment processes with a key focus on shortlisting applicants and E</w:t>
      </w:r>
      <w:r>
        <w:t xml:space="preserve">quality &amp; </w:t>
      </w:r>
      <w:r w:rsidRPr="00F261B1">
        <w:t>D</w:t>
      </w:r>
      <w:r>
        <w:t xml:space="preserve">iversity </w:t>
      </w:r>
      <w:r w:rsidRPr="00F261B1">
        <w:t>R</w:t>
      </w:r>
      <w:r>
        <w:t>epresentatives</w:t>
      </w:r>
      <w:r w:rsidRPr="00F261B1">
        <w:t xml:space="preserve"> to be part of each stage of the recruitment process </w:t>
      </w:r>
    </w:p>
    <w:p w14:paraId="5B63204B" w14:textId="6DC1C688" w:rsidR="00F261B1" w:rsidRDefault="00F261B1" w:rsidP="005D6646">
      <w:pPr>
        <w:pStyle w:val="ListParagraph"/>
        <w:numPr>
          <w:ilvl w:val="0"/>
          <w:numId w:val="5"/>
        </w:numPr>
      </w:pPr>
      <w:r w:rsidRPr="00F261B1">
        <w:t xml:space="preserve">Upskilling and training opportunities to be offered in-house to under-represented groups, developing our in-house talent </w:t>
      </w:r>
    </w:p>
    <w:p w14:paraId="382DF477" w14:textId="56E46861" w:rsidR="00E9597F" w:rsidRDefault="00E9597F" w:rsidP="005D6646">
      <w:pPr>
        <w:pStyle w:val="ListParagraph"/>
        <w:numPr>
          <w:ilvl w:val="0"/>
          <w:numId w:val="5"/>
        </w:numPr>
      </w:pPr>
      <w:r>
        <w:t xml:space="preserve">Anti-racism focused training for board members and senior leaders </w:t>
      </w:r>
    </w:p>
    <w:p w14:paraId="3A9F1346" w14:textId="7B2F576E" w:rsidR="00F261B1" w:rsidRDefault="00F261B1" w:rsidP="005D6646">
      <w:pPr>
        <w:pStyle w:val="ListParagraph"/>
        <w:numPr>
          <w:ilvl w:val="0"/>
          <w:numId w:val="5"/>
        </w:numPr>
      </w:pPr>
      <w:r w:rsidRPr="00F261B1">
        <w:t xml:space="preserve">Improvement in data collection, in particular intersectionality and protected characteristics information for talent development and learning activity </w:t>
      </w:r>
    </w:p>
    <w:p w14:paraId="5781FFC1" w14:textId="666703CB" w:rsidR="00F261B1" w:rsidRDefault="00F261B1" w:rsidP="005D6646">
      <w:pPr>
        <w:pStyle w:val="ListParagraph"/>
        <w:numPr>
          <w:ilvl w:val="0"/>
          <w:numId w:val="5"/>
        </w:numPr>
      </w:pPr>
      <w:r w:rsidRPr="00F261B1">
        <w:t xml:space="preserve">Continued promotion of the declaration of protected characteristics to ensure data collection is accurate and able to target areas of improvement </w:t>
      </w:r>
    </w:p>
    <w:p w14:paraId="3B3D9E33" w14:textId="4045F0BB" w:rsidR="00F261B1" w:rsidRDefault="00F261B1" w:rsidP="005D6646">
      <w:pPr>
        <w:pStyle w:val="ListParagraph"/>
        <w:numPr>
          <w:ilvl w:val="0"/>
          <w:numId w:val="5"/>
        </w:numPr>
      </w:pPr>
      <w:r w:rsidRPr="00F261B1">
        <w:t xml:space="preserve">Review of policies and processes to remove bias in all areas of the organisation </w:t>
      </w:r>
    </w:p>
    <w:p w14:paraId="2E337B22" w14:textId="67625AE3" w:rsidR="00570939" w:rsidRDefault="00570939" w:rsidP="00570939">
      <w:pPr>
        <w:pStyle w:val="Heading2"/>
      </w:pPr>
      <w:r>
        <w:t xml:space="preserve">Appendix </w:t>
      </w:r>
      <w:r w:rsidR="000F1167">
        <w:t>One</w:t>
      </w:r>
    </w:p>
    <w:p w14:paraId="26E2506F" w14:textId="65391A8A" w:rsidR="00570939" w:rsidRPr="00570939" w:rsidRDefault="009542EE" w:rsidP="00570939">
      <w:hyperlink r:id="rId12" w:history="1">
        <w:r w:rsidRPr="009542EE">
          <w:rPr>
            <w:rStyle w:val="Hyperlink"/>
          </w:rPr>
          <w:t>S</w:t>
        </w:r>
        <w:r w:rsidR="00570939" w:rsidRPr="009542EE">
          <w:rPr>
            <w:rStyle w:val="Hyperlink"/>
          </w:rPr>
          <w:t>taff survey information</w:t>
        </w:r>
      </w:hyperlink>
      <w:r w:rsidR="00570939">
        <w:t xml:space="preserve"> </w:t>
      </w:r>
    </w:p>
    <w:sectPr w:rsidR="00570939" w:rsidRPr="00570939" w:rsidSect="00BD29C7">
      <w:headerReference w:type="default" r:id="rId13"/>
      <w:footerReference w:type="even" r:id="rId14"/>
      <w:footerReference w:type="default" r:id="rId15"/>
      <w:headerReference w:type="first" r:id="rId16"/>
      <w:footerReference w:type="first" r:id="rId17"/>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55A0" w14:textId="77777777" w:rsidR="00A64FB9" w:rsidRPr="00EF3A62" w:rsidRDefault="00A64FB9" w:rsidP="008F7D93">
      <w:r w:rsidRPr="00EF3A62">
        <w:separator/>
      </w:r>
    </w:p>
  </w:endnote>
  <w:endnote w:type="continuationSeparator" w:id="0">
    <w:p w14:paraId="40BB09A4" w14:textId="77777777" w:rsidR="00A64FB9" w:rsidRPr="00EF3A62" w:rsidRDefault="00A64FB9" w:rsidP="008F7D93">
      <w:r w:rsidRPr="00EF3A62">
        <w:continuationSeparator/>
      </w:r>
    </w:p>
  </w:endnote>
  <w:endnote w:type="continuationNotice" w:id="1">
    <w:p w14:paraId="25B5E0CB" w14:textId="77777777" w:rsidR="00A64FB9" w:rsidRPr="00EF3A62" w:rsidRDefault="00A64FB9"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1BD5B0D7">
              <wp:extent cx="1816100" cy="221484"/>
              <wp:effectExtent l="0" t="0" r="0" b="7620"/>
              <wp:docPr id="517938285" name="Picture 1" descr="Together we are BNSSG in th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in the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19BDC194">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29CA81C5">
              <wp:extent cx="1816100" cy="221484"/>
              <wp:effectExtent l="0" t="0" r="0" b="7620"/>
              <wp:docPr id="991215516" name="Picture 1" descr="Together we are BNSSG in th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in the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05E9C4E0">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21DD" w14:textId="77777777" w:rsidR="00A64FB9" w:rsidRPr="00EF3A62" w:rsidRDefault="00A64FB9" w:rsidP="008F7D93">
      <w:r w:rsidRPr="00EF3A62">
        <w:separator/>
      </w:r>
    </w:p>
  </w:footnote>
  <w:footnote w:type="continuationSeparator" w:id="0">
    <w:p w14:paraId="4201188D" w14:textId="77777777" w:rsidR="00A64FB9" w:rsidRPr="00EF3A62" w:rsidRDefault="00A64FB9" w:rsidP="008F7D93">
      <w:r w:rsidRPr="00EF3A62">
        <w:continuationSeparator/>
      </w:r>
    </w:p>
  </w:footnote>
  <w:footnote w:type="continuationNotice" w:id="1">
    <w:p w14:paraId="0A0F6C11" w14:textId="77777777" w:rsidR="00A64FB9" w:rsidRPr="00EF3A62" w:rsidRDefault="00A64FB9"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4089A686">
          <wp:simplePos x="0" y="0"/>
          <wp:positionH relativeFrom="column">
            <wp:posOffset>4976703</wp:posOffset>
          </wp:positionH>
          <wp:positionV relativeFrom="paragraph">
            <wp:posOffset>361950</wp:posOffset>
          </wp:positionV>
          <wp:extent cx="1246297" cy="412750"/>
          <wp:effectExtent l="0" t="0" r="0" b="6350"/>
          <wp:wrapNone/>
          <wp:docPr id="170680668" name="Picture 3" descr="NHS BNSSG ICB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NHS BNSSG ICB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19212332">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03660E8E">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7357DE77">
          <wp:simplePos x="0" y="0"/>
          <wp:positionH relativeFrom="column">
            <wp:posOffset>4159885</wp:posOffset>
          </wp:positionH>
          <wp:positionV relativeFrom="paragraph">
            <wp:posOffset>114300</wp:posOffset>
          </wp:positionV>
          <wp:extent cx="2065020" cy="683895"/>
          <wp:effectExtent l="0" t="0" r="0" b="1905"/>
          <wp:wrapNone/>
          <wp:docPr id="2106029463" name="Picture 3" descr="BNSSG ICB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NSSG ICB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34C768A"/>
    <w:multiLevelType w:val="hybridMultilevel"/>
    <w:tmpl w:val="ADC4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C1C76"/>
    <w:multiLevelType w:val="multilevel"/>
    <w:tmpl w:val="20DE4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6F2B82"/>
    <w:multiLevelType w:val="hybridMultilevel"/>
    <w:tmpl w:val="C06EAD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5"/>
  </w:num>
  <w:num w:numId="2" w16cid:durableId="2035573269">
    <w:abstractNumId w:val="1"/>
  </w:num>
  <w:num w:numId="3" w16cid:durableId="1794133680">
    <w:abstractNumId w:val="0"/>
  </w:num>
  <w:num w:numId="4" w16cid:durableId="588999478">
    <w:abstractNumId w:val="4"/>
  </w:num>
  <w:num w:numId="5" w16cid:durableId="1975941285">
    <w:abstractNumId w:val="2"/>
  </w:num>
  <w:num w:numId="6" w16cid:durableId="1565412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274"/>
    <w:rsid w:val="00006CFF"/>
    <w:rsid w:val="00007E7A"/>
    <w:rsid w:val="0001174A"/>
    <w:rsid w:val="00022A48"/>
    <w:rsid w:val="00024844"/>
    <w:rsid w:val="0003731C"/>
    <w:rsid w:val="00041991"/>
    <w:rsid w:val="00042107"/>
    <w:rsid w:val="00056D10"/>
    <w:rsid w:val="000615EE"/>
    <w:rsid w:val="00062E1A"/>
    <w:rsid w:val="00067CEF"/>
    <w:rsid w:val="00075534"/>
    <w:rsid w:val="00082A01"/>
    <w:rsid w:val="000869FA"/>
    <w:rsid w:val="00093311"/>
    <w:rsid w:val="00096B8B"/>
    <w:rsid w:val="00097A66"/>
    <w:rsid w:val="0009D228"/>
    <w:rsid w:val="000B1964"/>
    <w:rsid w:val="000C3093"/>
    <w:rsid w:val="000C5464"/>
    <w:rsid w:val="000D1736"/>
    <w:rsid w:val="000D737C"/>
    <w:rsid w:val="000D76C8"/>
    <w:rsid w:val="000F1167"/>
    <w:rsid w:val="000F4958"/>
    <w:rsid w:val="00112F64"/>
    <w:rsid w:val="00124668"/>
    <w:rsid w:val="001256B5"/>
    <w:rsid w:val="00136B01"/>
    <w:rsid w:val="00162280"/>
    <w:rsid w:val="00165120"/>
    <w:rsid w:val="00166BBB"/>
    <w:rsid w:val="00167C5C"/>
    <w:rsid w:val="00167E4A"/>
    <w:rsid w:val="00167F5D"/>
    <w:rsid w:val="00173DE4"/>
    <w:rsid w:val="00174DD5"/>
    <w:rsid w:val="0017616F"/>
    <w:rsid w:val="00180936"/>
    <w:rsid w:val="00193E0D"/>
    <w:rsid w:val="00195910"/>
    <w:rsid w:val="001A3167"/>
    <w:rsid w:val="001A3200"/>
    <w:rsid w:val="001A59F6"/>
    <w:rsid w:val="001B7B44"/>
    <w:rsid w:val="001C548C"/>
    <w:rsid w:val="001D7CF7"/>
    <w:rsid w:val="001E048E"/>
    <w:rsid w:val="001E704A"/>
    <w:rsid w:val="001F1B6B"/>
    <w:rsid w:val="001F2B6B"/>
    <w:rsid w:val="001F725E"/>
    <w:rsid w:val="00202D24"/>
    <w:rsid w:val="002066AB"/>
    <w:rsid w:val="00210A34"/>
    <w:rsid w:val="0021564E"/>
    <w:rsid w:val="002256F7"/>
    <w:rsid w:val="00226D41"/>
    <w:rsid w:val="00235E7E"/>
    <w:rsid w:val="00236BBD"/>
    <w:rsid w:val="00242141"/>
    <w:rsid w:val="0024336D"/>
    <w:rsid w:val="00246352"/>
    <w:rsid w:val="0025149E"/>
    <w:rsid w:val="00254538"/>
    <w:rsid w:val="002625EA"/>
    <w:rsid w:val="00264C16"/>
    <w:rsid w:val="00266657"/>
    <w:rsid w:val="002701E2"/>
    <w:rsid w:val="00271AFE"/>
    <w:rsid w:val="00272238"/>
    <w:rsid w:val="00283C79"/>
    <w:rsid w:val="00297E66"/>
    <w:rsid w:val="002A6725"/>
    <w:rsid w:val="002A7AEC"/>
    <w:rsid w:val="002B234B"/>
    <w:rsid w:val="002B7AB4"/>
    <w:rsid w:val="002C0956"/>
    <w:rsid w:val="002C2763"/>
    <w:rsid w:val="002C4695"/>
    <w:rsid w:val="002C6F8D"/>
    <w:rsid w:val="002D7925"/>
    <w:rsid w:val="002E4668"/>
    <w:rsid w:val="002E60B0"/>
    <w:rsid w:val="002E7EB4"/>
    <w:rsid w:val="002F0A54"/>
    <w:rsid w:val="002F0B8E"/>
    <w:rsid w:val="002F243A"/>
    <w:rsid w:val="002F569E"/>
    <w:rsid w:val="002F65FF"/>
    <w:rsid w:val="0030747B"/>
    <w:rsid w:val="00317516"/>
    <w:rsid w:val="003213E5"/>
    <w:rsid w:val="00327BCF"/>
    <w:rsid w:val="00342C97"/>
    <w:rsid w:val="0035000D"/>
    <w:rsid w:val="00362423"/>
    <w:rsid w:val="003751DD"/>
    <w:rsid w:val="00384D9D"/>
    <w:rsid w:val="00392DE3"/>
    <w:rsid w:val="00392E58"/>
    <w:rsid w:val="003A3790"/>
    <w:rsid w:val="003A7CC3"/>
    <w:rsid w:val="003B64BD"/>
    <w:rsid w:val="003C1F54"/>
    <w:rsid w:val="003D2C31"/>
    <w:rsid w:val="003D3372"/>
    <w:rsid w:val="003D3815"/>
    <w:rsid w:val="003F060C"/>
    <w:rsid w:val="003F18EF"/>
    <w:rsid w:val="004124B7"/>
    <w:rsid w:val="00413606"/>
    <w:rsid w:val="004203CB"/>
    <w:rsid w:val="004206FD"/>
    <w:rsid w:val="00421E30"/>
    <w:rsid w:val="0042343F"/>
    <w:rsid w:val="00423547"/>
    <w:rsid w:val="0043292E"/>
    <w:rsid w:val="0043401F"/>
    <w:rsid w:val="00436374"/>
    <w:rsid w:val="00440537"/>
    <w:rsid w:val="00442450"/>
    <w:rsid w:val="004478C1"/>
    <w:rsid w:val="00461D52"/>
    <w:rsid w:val="00467817"/>
    <w:rsid w:val="004705A4"/>
    <w:rsid w:val="0047703A"/>
    <w:rsid w:val="00477D34"/>
    <w:rsid w:val="004803F3"/>
    <w:rsid w:val="004811B9"/>
    <w:rsid w:val="00490A17"/>
    <w:rsid w:val="0049162E"/>
    <w:rsid w:val="00494D66"/>
    <w:rsid w:val="004A5EF6"/>
    <w:rsid w:val="004C07D8"/>
    <w:rsid w:val="004C45E6"/>
    <w:rsid w:val="004D0430"/>
    <w:rsid w:val="004F05F5"/>
    <w:rsid w:val="004F55EE"/>
    <w:rsid w:val="0050121D"/>
    <w:rsid w:val="00503FF4"/>
    <w:rsid w:val="005062CF"/>
    <w:rsid w:val="00512195"/>
    <w:rsid w:val="00525E03"/>
    <w:rsid w:val="00525E42"/>
    <w:rsid w:val="00536AB2"/>
    <w:rsid w:val="00541C8D"/>
    <w:rsid w:val="00543256"/>
    <w:rsid w:val="00552EEF"/>
    <w:rsid w:val="00564C1F"/>
    <w:rsid w:val="00566001"/>
    <w:rsid w:val="005669F4"/>
    <w:rsid w:val="00570939"/>
    <w:rsid w:val="005718E7"/>
    <w:rsid w:val="0057404A"/>
    <w:rsid w:val="005922A7"/>
    <w:rsid w:val="005B5A6C"/>
    <w:rsid w:val="005B6A92"/>
    <w:rsid w:val="005C11C0"/>
    <w:rsid w:val="005C4F28"/>
    <w:rsid w:val="005D265D"/>
    <w:rsid w:val="005D32A2"/>
    <w:rsid w:val="005D6646"/>
    <w:rsid w:val="005F01AC"/>
    <w:rsid w:val="005F23CC"/>
    <w:rsid w:val="006001EA"/>
    <w:rsid w:val="0060055F"/>
    <w:rsid w:val="00610607"/>
    <w:rsid w:val="00621DD3"/>
    <w:rsid w:val="00623100"/>
    <w:rsid w:val="00640023"/>
    <w:rsid w:val="00641F03"/>
    <w:rsid w:val="0065030B"/>
    <w:rsid w:val="00654762"/>
    <w:rsid w:val="00655F69"/>
    <w:rsid w:val="00656198"/>
    <w:rsid w:val="006620B8"/>
    <w:rsid w:val="0066439E"/>
    <w:rsid w:val="006868B7"/>
    <w:rsid w:val="006961A0"/>
    <w:rsid w:val="006B19EE"/>
    <w:rsid w:val="006D35F1"/>
    <w:rsid w:val="006D53D1"/>
    <w:rsid w:val="006D6C30"/>
    <w:rsid w:val="006D79FC"/>
    <w:rsid w:val="006E79E7"/>
    <w:rsid w:val="006F5746"/>
    <w:rsid w:val="00701305"/>
    <w:rsid w:val="007316B3"/>
    <w:rsid w:val="00733D06"/>
    <w:rsid w:val="0074157A"/>
    <w:rsid w:val="00741EFE"/>
    <w:rsid w:val="00744C9D"/>
    <w:rsid w:val="0074677B"/>
    <w:rsid w:val="007512D7"/>
    <w:rsid w:val="007618DF"/>
    <w:rsid w:val="00763B8A"/>
    <w:rsid w:val="00770540"/>
    <w:rsid w:val="00774021"/>
    <w:rsid w:val="007740FD"/>
    <w:rsid w:val="00775643"/>
    <w:rsid w:val="00781ED0"/>
    <w:rsid w:val="00782F52"/>
    <w:rsid w:val="00792027"/>
    <w:rsid w:val="007938E2"/>
    <w:rsid w:val="007A7127"/>
    <w:rsid w:val="007A71A7"/>
    <w:rsid w:val="007A7DDA"/>
    <w:rsid w:val="007B7C0D"/>
    <w:rsid w:val="007C0DCF"/>
    <w:rsid w:val="007C13B6"/>
    <w:rsid w:val="007D1F8F"/>
    <w:rsid w:val="007D51DB"/>
    <w:rsid w:val="007E1896"/>
    <w:rsid w:val="007E39CF"/>
    <w:rsid w:val="007E6304"/>
    <w:rsid w:val="007E68CC"/>
    <w:rsid w:val="007F69F7"/>
    <w:rsid w:val="00800083"/>
    <w:rsid w:val="008032A2"/>
    <w:rsid w:val="00804088"/>
    <w:rsid w:val="00804EDF"/>
    <w:rsid w:val="00806EB4"/>
    <w:rsid w:val="00807103"/>
    <w:rsid w:val="00816988"/>
    <w:rsid w:val="00821848"/>
    <w:rsid w:val="0082757F"/>
    <w:rsid w:val="00840A18"/>
    <w:rsid w:val="00847D21"/>
    <w:rsid w:val="00867F20"/>
    <w:rsid w:val="00873B77"/>
    <w:rsid w:val="00894417"/>
    <w:rsid w:val="008966D0"/>
    <w:rsid w:val="008B01BB"/>
    <w:rsid w:val="008B0907"/>
    <w:rsid w:val="008C4FC9"/>
    <w:rsid w:val="008D71BA"/>
    <w:rsid w:val="008F2014"/>
    <w:rsid w:val="008F53AE"/>
    <w:rsid w:val="008F7D93"/>
    <w:rsid w:val="00913B7A"/>
    <w:rsid w:val="00917835"/>
    <w:rsid w:val="00922DF6"/>
    <w:rsid w:val="009244AF"/>
    <w:rsid w:val="009252D6"/>
    <w:rsid w:val="00931644"/>
    <w:rsid w:val="00932A3A"/>
    <w:rsid w:val="00946BEE"/>
    <w:rsid w:val="009542EE"/>
    <w:rsid w:val="00956071"/>
    <w:rsid w:val="00961464"/>
    <w:rsid w:val="00972308"/>
    <w:rsid w:val="0097576D"/>
    <w:rsid w:val="00982077"/>
    <w:rsid w:val="00982180"/>
    <w:rsid w:val="0098235F"/>
    <w:rsid w:val="00982E80"/>
    <w:rsid w:val="00991D41"/>
    <w:rsid w:val="00994E35"/>
    <w:rsid w:val="00995CC6"/>
    <w:rsid w:val="00996EAC"/>
    <w:rsid w:val="009A1042"/>
    <w:rsid w:val="009B0799"/>
    <w:rsid w:val="009B4DEF"/>
    <w:rsid w:val="009C362A"/>
    <w:rsid w:val="009C581C"/>
    <w:rsid w:val="009D44AF"/>
    <w:rsid w:val="009F2F68"/>
    <w:rsid w:val="009F43D6"/>
    <w:rsid w:val="009F65CF"/>
    <w:rsid w:val="00A01356"/>
    <w:rsid w:val="00A02D1C"/>
    <w:rsid w:val="00A032EE"/>
    <w:rsid w:val="00A06FEE"/>
    <w:rsid w:val="00A12EEC"/>
    <w:rsid w:val="00A13822"/>
    <w:rsid w:val="00A16E37"/>
    <w:rsid w:val="00A34273"/>
    <w:rsid w:val="00A4757B"/>
    <w:rsid w:val="00A56F16"/>
    <w:rsid w:val="00A630B9"/>
    <w:rsid w:val="00A64F5D"/>
    <w:rsid w:val="00A64FB9"/>
    <w:rsid w:val="00A72DF4"/>
    <w:rsid w:val="00A806D5"/>
    <w:rsid w:val="00A85B06"/>
    <w:rsid w:val="00AA54A0"/>
    <w:rsid w:val="00AA7028"/>
    <w:rsid w:val="00AB274C"/>
    <w:rsid w:val="00AB45A7"/>
    <w:rsid w:val="00AC0DB2"/>
    <w:rsid w:val="00AC6C33"/>
    <w:rsid w:val="00AD7B7F"/>
    <w:rsid w:val="00AE63FA"/>
    <w:rsid w:val="00AE79FA"/>
    <w:rsid w:val="00AF2213"/>
    <w:rsid w:val="00AF3F45"/>
    <w:rsid w:val="00B024E8"/>
    <w:rsid w:val="00B035A9"/>
    <w:rsid w:val="00B053E7"/>
    <w:rsid w:val="00B362BD"/>
    <w:rsid w:val="00B44C60"/>
    <w:rsid w:val="00B500B0"/>
    <w:rsid w:val="00B55ED7"/>
    <w:rsid w:val="00B5684E"/>
    <w:rsid w:val="00B60EDB"/>
    <w:rsid w:val="00B71B7D"/>
    <w:rsid w:val="00B84DF2"/>
    <w:rsid w:val="00B86278"/>
    <w:rsid w:val="00B87DFB"/>
    <w:rsid w:val="00B90F88"/>
    <w:rsid w:val="00BB6080"/>
    <w:rsid w:val="00BB7064"/>
    <w:rsid w:val="00BB798E"/>
    <w:rsid w:val="00BC2928"/>
    <w:rsid w:val="00BC29B9"/>
    <w:rsid w:val="00BD29C7"/>
    <w:rsid w:val="00BE004F"/>
    <w:rsid w:val="00BE21F2"/>
    <w:rsid w:val="00BF59AB"/>
    <w:rsid w:val="00C0090E"/>
    <w:rsid w:val="00C01832"/>
    <w:rsid w:val="00C07FE9"/>
    <w:rsid w:val="00C12115"/>
    <w:rsid w:val="00C1261E"/>
    <w:rsid w:val="00C31347"/>
    <w:rsid w:val="00C35D96"/>
    <w:rsid w:val="00C36F87"/>
    <w:rsid w:val="00C378EB"/>
    <w:rsid w:val="00C40261"/>
    <w:rsid w:val="00C40403"/>
    <w:rsid w:val="00C419F6"/>
    <w:rsid w:val="00C423EF"/>
    <w:rsid w:val="00C451CD"/>
    <w:rsid w:val="00C46028"/>
    <w:rsid w:val="00C50212"/>
    <w:rsid w:val="00C51CC1"/>
    <w:rsid w:val="00C5215A"/>
    <w:rsid w:val="00C627B8"/>
    <w:rsid w:val="00C66C49"/>
    <w:rsid w:val="00C70564"/>
    <w:rsid w:val="00C737D3"/>
    <w:rsid w:val="00C804CB"/>
    <w:rsid w:val="00C91692"/>
    <w:rsid w:val="00C92574"/>
    <w:rsid w:val="00C9472C"/>
    <w:rsid w:val="00CA0992"/>
    <w:rsid w:val="00CA3616"/>
    <w:rsid w:val="00CA4402"/>
    <w:rsid w:val="00CB550A"/>
    <w:rsid w:val="00CC2F74"/>
    <w:rsid w:val="00CC69FF"/>
    <w:rsid w:val="00CD6D4E"/>
    <w:rsid w:val="00CE0CB6"/>
    <w:rsid w:val="00CF223C"/>
    <w:rsid w:val="00CF2E2F"/>
    <w:rsid w:val="00D0200D"/>
    <w:rsid w:val="00D03A16"/>
    <w:rsid w:val="00D12A75"/>
    <w:rsid w:val="00D144E3"/>
    <w:rsid w:val="00D14721"/>
    <w:rsid w:val="00D14C4C"/>
    <w:rsid w:val="00D15A71"/>
    <w:rsid w:val="00D22076"/>
    <w:rsid w:val="00D23755"/>
    <w:rsid w:val="00D25B58"/>
    <w:rsid w:val="00D400A9"/>
    <w:rsid w:val="00D423FB"/>
    <w:rsid w:val="00D42D1E"/>
    <w:rsid w:val="00D45269"/>
    <w:rsid w:val="00D518F9"/>
    <w:rsid w:val="00D52B14"/>
    <w:rsid w:val="00D57B19"/>
    <w:rsid w:val="00D6392B"/>
    <w:rsid w:val="00D70EB7"/>
    <w:rsid w:val="00D74A56"/>
    <w:rsid w:val="00D77307"/>
    <w:rsid w:val="00DA13B8"/>
    <w:rsid w:val="00DA4766"/>
    <w:rsid w:val="00DB09EE"/>
    <w:rsid w:val="00DC7129"/>
    <w:rsid w:val="00DD50E9"/>
    <w:rsid w:val="00DE4731"/>
    <w:rsid w:val="00DE704D"/>
    <w:rsid w:val="00DE772B"/>
    <w:rsid w:val="00DF45A1"/>
    <w:rsid w:val="00E0693A"/>
    <w:rsid w:val="00E13AD5"/>
    <w:rsid w:val="00E4144B"/>
    <w:rsid w:val="00E52AD2"/>
    <w:rsid w:val="00E60EC0"/>
    <w:rsid w:val="00E6195C"/>
    <w:rsid w:val="00E67B06"/>
    <w:rsid w:val="00E808BA"/>
    <w:rsid w:val="00E82EA5"/>
    <w:rsid w:val="00E83A06"/>
    <w:rsid w:val="00E9597F"/>
    <w:rsid w:val="00EA2232"/>
    <w:rsid w:val="00EB01A8"/>
    <w:rsid w:val="00EB12FB"/>
    <w:rsid w:val="00EB1483"/>
    <w:rsid w:val="00EB225A"/>
    <w:rsid w:val="00EB2B3B"/>
    <w:rsid w:val="00EB3073"/>
    <w:rsid w:val="00EB691A"/>
    <w:rsid w:val="00EC47E4"/>
    <w:rsid w:val="00ED4277"/>
    <w:rsid w:val="00EE40AA"/>
    <w:rsid w:val="00EE7378"/>
    <w:rsid w:val="00EF3A62"/>
    <w:rsid w:val="00F038B7"/>
    <w:rsid w:val="00F0444E"/>
    <w:rsid w:val="00F06381"/>
    <w:rsid w:val="00F12428"/>
    <w:rsid w:val="00F261B1"/>
    <w:rsid w:val="00F371D2"/>
    <w:rsid w:val="00F54E89"/>
    <w:rsid w:val="00F56A74"/>
    <w:rsid w:val="00F572BF"/>
    <w:rsid w:val="00F82749"/>
    <w:rsid w:val="00F94417"/>
    <w:rsid w:val="00FA2EB3"/>
    <w:rsid w:val="00FA3427"/>
    <w:rsid w:val="00FB6A0A"/>
    <w:rsid w:val="00FC4AB0"/>
    <w:rsid w:val="00FD34FD"/>
    <w:rsid w:val="00FD7D82"/>
    <w:rsid w:val="00FF02B1"/>
    <w:rsid w:val="00FF27BD"/>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D81B6847-0F6D-40D0-BEA8-3A86CAF8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90A17"/>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hub.bnssg.icb.nhs.uk/news/staff-survey-results-2024/"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nhs-my.sharepoint.com/personal/calais_hutchins1_nhs_net/Documents/WR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pivotSource>
    <c:name>[WRES.xlsx]Sheet3!PivotTable1</c:name>
    <c:fmtId val="-1"/>
  </c:pivotSource>
  <c:chart>
    <c:autoTitleDeleted val="1"/>
    <c:pivotFmts>
      <c:pivotFmt>
        <c:idx val="0"/>
        <c:spPr>
          <a:solidFill>
            <a:schemeClr val="accent2"/>
          </a:solidFill>
          <a:ln>
            <a:noFill/>
          </a:ln>
          <a:effectLst/>
          <a:sp3d/>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Sheet3!$B$3</c:f>
              <c:strCache>
                <c:ptCount val="1"/>
                <c:pt idx="0">
                  <c:v>Sum of Interview:Rejected</c:v>
                </c:pt>
              </c:strCache>
            </c:strRef>
          </c:tx>
          <c:spPr>
            <a:solidFill>
              <a:schemeClr val="accent2">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BME</c:v>
                </c:pt>
                <c:pt idx="1">
                  <c:v>Unknown</c:v>
                </c:pt>
                <c:pt idx="2">
                  <c:v>White</c:v>
                </c:pt>
              </c:strCache>
            </c:strRef>
          </c:cat>
          <c:val>
            <c:numRef>
              <c:f>Sheet3!$B$4:$B$7</c:f>
              <c:numCache>
                <c:formatCode>General</c:formatCode>
                <c:ptCount val="3"/>
                <c:pt idx="0">
                  <c:v>100</c:v>
                </c:pt>
                <c:pt idx="1">
                  <c:v>8</c:v>
                </c:pt>
                <c:pt idx="2">
                  <c:v>116</c:v>
                </c:pt>
              </c:numCache>
            </c:numRef>
          </c:val>
          <c:extLst>
            <c:ext xmlns:c16="http://schemas.microsoft.com/office/drawing/2014/chart" uri="{C3380CC4-5D6E-409C-BE32-E72D297353CC}">
              <c16:uniqueId val="{00000000-4452-4C0E-A829-DB0F8724EA40}"/>
            </c:ext>
          </c:extLst>
        </c:ser>
        <c:ser>
          <c:idx val="1"/>
          <c:order val="1"/>
          <c:tx>
            <c:strRef>
              <c:f>Sheet3!$C$3</c:f>
              <c:strCache>
                <c:ptCount val="1"/>
                <c:pt idx="0">
                  <c:v>Sum of Longlisting:Sponsorship required</c:v>
                </c:pt>
              </c:strCache>
            </c:strRef>
          </c:tx>
          <c:spPr>
            <a:solidFill>
              <a:schemeClr val="accent2">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BME</c:v>
                </c:pt>
                <c:pt idx="1">
                  <c:v>Unknown</c:v>
                </c:pt>
                <c:pt idx="2">
                  <c:v>White</c:v>
                </c:pt>
              </c:strCache>
            </c:strRef>
          </c:cat>
          <c:val>
            <c:numRef>
              <c:f>Sheet3!$C$4:$C$7</c:f>
              <c:numCache>
                <c:formatCode>General</c:formatCode>
                <c:ptCount val="3"/>
                <c:pt idx="0">
                  <c:v>37</c:v>
                </c:pt>
                <c:pt idx="1">
                  <c:v>1</c:v>
                </c:pt>
                <c:pt idx="2">
                  <c:v>0</c:v>
                </c:pt>
              </c:numCache>
            </c:numRef>
          </c:val>
          <c:extLst>
            <c:ext xmlns:c16="http://schemas.microsoft.com/office/drawing/2014/chart" uri="{C3380CC4-5D6E-409C-BE32-E72D297353CC}">
              <c16:uniqueId val="{00000001-4452-4C0E-A829-DB0F8724EA40}"/>
            </c:ext>
          </c:extLst>
        </c:ser>
        <c:ser>
          <c:idx val="2"/>
          <c:order val="2"/>
          <c:tx>
            <c:strRef>
              <c:f>Sheet3!$D$3</c:f>
              <c:strCache>
                <c:ptCount val="1"/>
                <c:pt idx="0">
                  <c:v>Sum of Interview:Withdrawn</c:v>
                </c:pt>
              </c:strCache>
            </c:strRef>
          </c:tx>
          <c:spPr>
            <a:solidFill>
              <a:schemeClr val="accent2">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BME</c:v>
                </c:pt>
                <c:pt idx="1">
                  <c:v>Unknown</c:v>
                </c:pt>
                <c:pt idx="2">
                  <c:v>White</c:v>
                </c:pt>
              </c:strCache>
            </c:strRef>
          </c:cat>
          <c:val>
            <c:numRef>
              <c:f>Sheet3!$D$4:$D$7</c:f>
              <c:numCache>
                <c:formatCode>General</c:formatCode>
                <c:ptCount val="3"/>
                <c:pt idx="0">
                  <c:v>34</c:v>
                </c:pt>
                <c:pt idx="1">
                  <c:v>3</c:v>
                </c:pt>
                <c:pt idx="2">
                  <c:v>86</c:v>
                </c:pt>
              </c:numCache>
            </c:numRef>
          </c:val>
          <c:extLst>
            <c:ext xmlns:c16="http://schemas.microsoft.com/office/drawing/2014/chart" uri="{C3380CC4-5D6E-409C-BE32-E72D297353CC}">
              <c16:uniqueId val="{00000002-4452-4C0E-A829-DB0F8724EA40}"/>
            </c:ext>
          </c:extLst>
        </c:ser>
        <c:ser>
          <c:idx val="3"/>
          <c:order val="3"/>
          <c:tx>
            <c:strRef>
              <c:f>Sheet3!$E$3</c:f>
              <c:strCache>
                <c:ptCount val="1"/>
                <c:pt idx="0">
                  <c:v>Sum of Outcome:Recruited</c:v>
                </c:pt>
              </c:strCache>
            </c:strRef>
          </c:tx>
          <c:spPr>
            <a:solidFill>
              <a:schemeClr val="accent2">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BME</c:v>
                </c:pt>
                <c:pt idx="1">
                  <c:v>Unknown</c:v>
                </c:pt>
                <c:pt idx="2">
                  <c:v>White</c:v>
                </c:pt>
              </c:strCache>
            </c:strRef>
          </c:cat>
          <c:val>
            <c:numRef>
              <c:f>Sheet3!$E$4:$E$7</c:f>
              <c:numCache>
                <c:formatCode>General</c:formatCode>
                <c:ptCount val="3"/>
                <c:pt idx="0">
                  <c:v>21</c:v>
                </c:pt>
                <c:pt idx="1">
                  <c:v>3</c:v>
                </c:pt>
                <c:pt idx="2">
                  <c:v>66</c:v>
                </c:pt>
              </c:numCache>
            </c:numRef>
          </c:val>
          <c:extLst>
            <c:ext xmlns:c16="http://schemas.microsoft.com/office/drawing/2014/chart" uri="{C3380CC4-5D6E-409C-BE32-E72D297353CC}">
              <c16:uniqueId val="{00000003-4452-4C0E-A829-DB0F8724EA40}"/>
            </c:ext>
          </c:extLst>
        </c:ser>
        <c:dLbls>
          <c:dLblPos val="outEnd"/>
          <c:showLegendKey val="0"/>
          <c:showVal val="1"/>
          <c:showCatName val="0"/>
          <c:showSerName val="0"/>
          <c:showPercent val="0"/>
          <c:showBubbleSize val="0"/>
        </c:dLbls>
        <c:gapWidth val="219"/>
        <c:overlap val="-27"/>
        <c:axId val="926342527"/>
        <c:axId val="926341567"/>
      </c:barChart>
      <c:valAx>
        <c:axId val="9263415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Applicant figure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342527"/>
        <c:crosses val="autoZero"/>
        <c:crossBetween val="between"/>
      </c:valAx>
      <c:catAx>
        <c:axId val="92634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341567"/>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6" ma:contentTypeDescription="Create a new document." ma:contentTypeScope="" ma:versionID="863989d41c3f6d4bf26cb3400801d13a">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5c90ab8f5065901e82a2cf77f49cff08"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Props1.xml><?xml version="1.0" encoding="utf-8"?>
<ds:datastoreItem xmlns:ds="http://schemas.openxmlformats.org/officeDocument/2006/customXml" ds:itemID="{828C2806-087E-4D4B-99AC-D3973484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9481131a-5ef9-4c1f-b17b-99b9c4b05bfc"/>
    <ds:schemaRef ds:uri="321487e1-d70a-4ac7-a45d-cb1aeb6d772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1378</Words>
  <Characters>7494</Characters>
  <Application>Microsoft Office Word</Application>
  <DocSecurity>0</DocSecurity>
  <Lines>361</Lines>
  <Paragraphs>266</Paragraphs>
  <ScaleCrop>false</ScaleCrop>
  <HeadingPairs>
    <vt:vector size="2" baseType="variant">
      <vt:variant>
        <vt:lpstr>Title</vt:lpstr>
      </vt:variant>
      <vt:variant>
        <vt:i4>1</vt:i4>
      </vt:variant>
    </vt:vector>
  </HeadingPairs>
  <TitlesOfParts>
    <vt:vector size="1" baseType="lpstr">
      <vt:lpstr>blank template January 2019</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8</cp:revision>
  <dcterms:created xsi:type="dcterms:W3CDTF">2025-11-20T12:07:00Z</dcterms:created>
  <dcterms:modified xsi:type="dcterms:W3CDTF">2025-12-18T15:04:00Z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